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02A3427C"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CC2A36">
        <w:rPr>
          <w:lang w:val="en-US"/>
        </w:rPr>
        <w:t>7</w:t>
      </w:r>
      <w:r w:rsidRPr="00DE3FC8">
        <w:rPr>
          <w:lang w:val="en-US"/>
        </w:rPr>
        <w:tab/>
      </w:r>
      <w:r w:rsidR="0082097C" w:rsidRPr="0082097C">
        <w:rPr>
          <w:sz w:val="32"/>
          <w:szCs w:val="32"/>
          <w:lang w:val="en-US"/>
        </w:rPr>
        <w:t>R2-2406920</w:t>
      </w:r>
    </w:p>
    <w:p w14:paraId="5104E0A7" w14:textId="62F72BF3" w:rsidR="006255E7" w:rsidRDefault="00CC2A36" w:rsidP="006255E7">
      <w:pPr>
        <w:pStyle w:val="CRCoverPage"/>
        <w:outlineLvl w:val="0"/>
        <w:rPr>
          <w:b/>
          <w:noProof/>
          <w:sz w:val="24"/>
        </w:rPr>
      </w:pPr>
      <w:r w:rsidRPr="00CC2A36">
        <w:rPr>
          <w:b/>
          <w:noProof/>
          <w:sz w:val="24"/>
        </w:rPr>
        <w:t>Maastricht</w:t>
      </w:r>
      <w:r w:rsidR="006255E7">
        <w:rPr>
          <w:b/>
          <w:noProof/>
          <w:sz w:val="24"/>
        </w:rPr>
        <w:t xml:space="preserve">, </w:t>
      </w:r>
      <w:r>
        <w:rPr>
          <w:b/>
          <w:noProof/>
          <w:sz w:val="24"/>
        </w:rPr>
        <w:t>Netherlands</w:t>
      </w:r>
      <w:r w:rsidR="006255E7">
        <w:rPr>
          <w:b/>
          <w:noProof/>
          <w:sz w:val="24"/>
        </w:rPr>
        <w:t xml:space="preserve">, </w:t>
      </w:r>
      <w:r>
        <w:rPr>
          <w:b/>
          <w:noProof/>
          <w:sz w:val="24"/>
        </w:rPr>
        <w:t>19</w:t>
      </w:r>
      <w:r w:rsidR="00B97494" w:rsidRPr="00B97494">
        <w:rPr>
          <w:b/>
          <w:noProof/>
          <w:sz w:val="24"/>
          <w:vertAlign w:val="superscript"/>
        </w:rPr>
        <w:t>th</w:t>
      </w:r>
      <w:r w:rsidR="00E455C2">
        <w:rPr>
          <w:b/>
          <w:noProof/>
          <w:sz w:val="24"/>
        </w:rPr>
        <w:t xml:space="preserve"> – </w:t>
      </w:r>
      <w:r w:rsidR="00FB25DC">
        <w:rPr>
          <w:b/>
          <w:noProof/>
          <w:sz w:val="24"/>
        </w:rPr>
        <w:t>2</w:t>
      </w:r>
      <w:r>
        <w:rPr>
          <w:b/>
          <w:noProof/>
          <w:sz w:val="24"/>
        </w:rPr>
        <w:t>3</w:t>
      </w:r>
      <w:r>
        <w:rPr>
          <w:b/>
          <w:noProof/>
          <w:sz w:val="24"/>
          <w:vertAlign w:val="superscript"/>
        </w:rPr>
        <w:t>rd</w:t>
      </w:r>
      <w:r w:rsidR="00B97494">
        <w:rPr>
          <w:b/>
          <w:noProof/>
          <w:sz w:val="24"/>
        </w:rPr>
        <w:t xml:space="preserve"> </w:t>
      </w:r>
      <w:r>
        <w:rPr>
          <w:b/>
          <w:noProof/>
          <w:sz w:val="24"/>
        </w:rPr>
        <w:t>August</w:t>
      </w:r>
      <w:r w:rsidR="00E455C2">
        <w:rPr>
          <w:b/>
          <w:noProof/>
          <w:sz w:val="24"/>
        </w:rPr>
        <w:t xml:space="preserve"> 202</w:t>
      </w:r>
      <w:r w:rsidR="00B97494">
        <w:rPr>
          <w:b/>
          <w:noProof/>
          <w:sz w:val="24"/>
        </w:rPr>
        <w:t>4</w:t>
      </w:r>
    </w:p>
    <w:p w14:paraId="432B3E09" w14:textId="77777777" w:rsidR="00E90E49" w:rsidRPr="00CE0424" w:rsidRDefault="00E90E49" w:rsidP="00357380">
      <w:pPr>
        <w:pStyle w:val="3GPPHeader"/>
      </w:pPr>
    </w:p>
    <w:p w14:paraId="6CF7B12A" w14:textId="3EBD1C6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7D1F">
        <w:rPr>
          <w:sz w:val="22"/>
          <w:szCs w:val="22"/>
        </w:rPr>
        <w:t>8.6.3</w:t>
      </w:r>
    </w:p>
    <w:p w14:paraId="7554868D" w14:textId="1985350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7788A1D4" w:rsidR="00E90E49" w:rsidRPr="00CE0424" w:rsidRDefault="003D3C45" w:rsidP="00311702">
      <w:pPr>
        <w:pStyle w:val="3GPPHeader"/>
        <w:rPr>
          <w:sz w:val="22"/>
          <w:szCs w:val="22"/>
        </w:rPr>
      </w:pPr>
      <w:r w:rsidRPr="7CE692DB">
        <w:rPr>
          <w:sz w:val="22"/>
          <w:szCs w:val="22"/>
        </w:rPr>
        <w:t>Title:</w:t>
      </w:r>
      <w:r>
        <w:tab/>
      </w:r>
      <w:r w:rsidR="00B14234">
        <w:rPr>
          <w:sz w:val="22"/>
          <w:szCs w:val="22"/>
        </w:rPr>
        <w:t>Important aspects regarding</w:t>
      </w:r>
      <w:r w:rsidR="00B14234" w:rsidRPr="7CE692DB">
        <w:rPr>
          <w:sz w:val="22"/>
          <w:szCs w:val="22"/>
        </w:rPr>
        <w:t xml:space="preserve"> </w:t>
      </w:r>
      <w:r w:rsidR="00B12BEC" w:rsidRPr="7CE692DB">
        <w:rPr>
          <w:sz w:val="22"/>
          <w:szCs w:val="22"/>
        </w:rPr>
        <w:t>event triggered L1 measurements</w:t>
      </w:r>
      <w:r w:rsidR="003B7B8E" w:rsidRPr="7CE692DB">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Default="00230D18" w:rsidP="00CE0424">
      <w:pPr>
        <w:pStyle w:val="Heading1"/>
      </w:pPr>
      <w:r>
        <w:t>1</w:t>
      </w:r>
      <w:r>
        <w:tab/>
      </w:r>
      <w:r w:rsidR="00E90E49" w:rsidRPr="00CE0424">
        <w:t>Introduction</w:t>
      </w:r>
    </w:p>
    <w:p w14:paraId="0D9D8395" w14:textId="27ADCA93" w:rsidR="001F1E3E" w:rsidRPr="002743A7" w:rsidRDefault="00A677FB" w:rsidP="001F1E3E">
      <w:pPr>
        <w:rPr>
          <w:rFonts w:ascii="Arial" w:hAnsi="Arial" w:cs="Arial"/>
        </w:rPr>
      </w:pPr>
      <w:r>
        <w:rPr>
          <w:rFonts w:ascii="Arial" w:hAnsi="Arial" w:cs="Arial"/>
        </w:rPr>
        <w:t xml:space="preserve">Previous meetings </w:t>
      </w:r>
      <w:r w:rsidR="003E69B8">
        <w:rPr>
          <w:rFonts w:ascii="Arial" w:hAnsi="Arial" w:cs="Arial"/>
        </w:rPr>
        <w:t xml:space="preserve">have listed a number of use cases to design the event based L1 measurements around, and we think it is very beneficial to start with the use cases to support, and then motivate events based on these use cases. For this reason, this contribution </w:t>
      </w:r>
      <w:r w:rsidR="00EA50B5">
        <w:rPr>
          <w:rFonts w:ascii="Arial" w:hAnsi="Arial" w:cs="Arial"/>
        </w:rPr>
        <w:t>discusses use cases and events</w:t>
      </w:r>
      <w:r w:rsidR="006B2B5B">
        <w:rPr>
          <w:rFonts w:ascii="Arial" w:hAnsi="Arial" w:cs="Arial"/>
        </w:rPr>
        <w:t>, as well as some other L</w:t>
      </w:r>
      <w:r w:rsidR="00E20B9D">
        <w:rPr>
          <w:rFonts w:ascii="Arial" w:hAnsi="Arial" w:cs="Arial"/>
        </w:rPr>
        <w:t>1</w:t>
      </w:r>
      <w:r w:rsidR="006B2B5B">
        <w:rPr>
          <w:rFonts w:ascii="Arial" w:hAnsi="Arial" w:cs="Arial"/>
        </w:rPr>
        <w:t xml:space="preserve"> measurement centric </w:t>
      </w:r>
      <w:r w:rsidR="006B0BC5">
        <w:rPr>
          <w:rFonts w:ascii="Arial" w:hAnsi="Arial" w:cs="Arial"/>
        </w:rPr>
        <w:t>discussion points</w:t>
      </w:r>
      <w:r w:rsidR="00E20B9D">
        <w:rPr>
          <w:rFonts w:ascii="Arial" w:hAnsi="Arial" w:cs="Arial"/>
        </w:rPr>
        <w:t>.</w:t>
      </w:r>
    </w:p>
    <w:p w14:paraId="38853E39" w14:textId="77777777" w:rsidR="004000E8" w:rsidRDefault="00230D18" w:rsidP="00CE0424">
      <w:pPr>
        <w:pStyle w:val="Heading1"/>
      </w:pPr>
      <w:bookmarkStart w:id="0" w:name="_Ref178064866"/>
      <w:r>
        <w:t>2</w:t>
      </w:r>
      <w:r>
        <w:tab/>
      </w:r>
      <w:r w:rsidR="004000E8" w:rsidRPr="00CE0424">
        <w:t>Discussion</w:t>
      </w:r>
      <w:bookmarkEnd w:id="0"/>
    </w:p>
    <w:p w14:paraId="2107F657" w14:textId="24B13337" w:rsidR="00C6674D" w:rsidRPr="00C6674D" w:rsidRDefault="00DF10FC" w:rsidP="00C6674D">
      <w:pPr>
        <w:rPr>
          <w:rFonts w:ascii="Arial" w:hAnsi="Arial" w:cs="Arial"/>
        </w:rPr>
      </w:pPr>
      <w:r>
        <w:rPr>
          <w:rFonts w:ascii="Arial" w:hAnsi="Arial" w:cs="Arial"/>
        </w:rPr>
        <w:t xml:space="preserve">This section provides </w:t>
      </w:r>
      <w:r w:rsidR="00B14A8F">
        <w:rPr>
          <w:rFonts w:ascii="Arial" w:hAnsi="Arial" w:cs="Arial"/>
        </w:rPr>
        <w:t xml:space="preserve">a </w:t>
      </w:r>
      <w:r>
        <w:rPr>
          <w:rFonts w:ascii="Arial" w:hAnsi="Arial" w:cs="Arial"/>
        </w:rPr>
        <w:t>detail</w:t>
      </w:r>
      <w:r w:rsidR="00B14A8F">
        <w:rPr>
          <w:rFonts w:ascii="Arial" w:hAnsi="Arial" w:cs="Arial"/>
        </w:rPr>
        <w:t>ed view</w:t>
      </w:r>
      <w:r>
        <w:rPr>
          <w:rFonts w:ascii="Arial" w:hAnsi="Arial" w:cs="Arial"/>
        </w:rPr>
        <w:t xml:space="preserve"> </w:t>
      </w:r>
      <w:r w:rsidR="002064BE">
        <w:rPr>
          <w:rFonts w:ascii="Arial" w:hAnsi="Arial" w:cs="Arial"/>
        </w:rPr>
        <w:t>of the measurement-related enhancements</w:t>
      </w:r>
      <w:r w:rsidR="0064013D">
        <w:rPr>
          <w:rFonts w:ascii="Arial" w:hAnsi="Arial" w:cs="Arial"/>
        </w:rPr>
        <w:t xml:space="preserve"> to support the </w:t>
      </w:r>
      <w:r w:rsidR="00D43361">
        <w:rPr>
          <w:rFonts w:ascii="Arial" w:hAnsi="Arial" w:cs="Arial"/>
        </w:rPr>
        <w:t>E</w:t>
      </w:r>
      <w:r w:rsidR="0064013D">
        <w:rPr>
          <w:rFonts w:ascii="Arial" w:hAnsi="Arial" w:cs="Arial"/>
        </w:rPr>
        <w:t xml:space="preserve">vent-triggered </w:t>
      </w:r>
      <w:r w:rsidR="00D43361">
        <w:rPr>
          <w:rFonts w:ascii="Arial" w:hAnsi="Arial" w:cs="Arial"/>
        </w:rPr>
        <w:t>L1 measurement and reporting</w:t>
      </w:r>
      <w:r w:rsidR="00BA02CE">
        <w:rPr>
          <w:rFonts w:ascii="Arial" w:hAnsi="Arial" w:cs="Arial"/>
        </w:rPr>
        <w:t xml:space="preserve">, as </w:t>
      </w:r>
      <w:r w:rsidR="001E611A">
        <w:rPr>
          <w:rFonts w:ascii="Arial" w:hAnsi="Arial" w:cs="Arial"/>
        </w:rPr>
        <w:t xml:space="preserve">one of the main objectives </w:t>
      </w:r>
      <w:r w:rsidR="00BA02CE">
        <w:rPr>
          <w:rFonts w:ascii="Arial" w:hAnsi="Arial" w:cs="Arial"/>
        </w:rPr>
        <w:t>described in the WID [1].</w:t>
      </w:r>
    </w:p>
    <w:p w14:paraId="6BE47542" w14:textId="102E69FE" w:rsidR="00242DA7" w:rsidRDefault="001C1875" w:rsidP="002E0885">
      <w:pPr>
        <w:pStyle w:val="Heading2"/>
      </w:pPr>
      <w:r>
        <w:t>2.</w:t>
      </w:r>
      <w:r w:rsidR="00536374">
        <w:t>1</w:t>
      </w:r>
      <w:r w:rsidR="00682D64">
        <w:tab/>
      </w:r>
      <w:r w:rsidR="00242DA7">
        <w:t>Use Case Definition</w:t>
      </w:r>
    </w:p>
    <w:p w14:paraId="3D48171C" w14:textId="43B449F0" w:rsidR="00446F14" w:rsidRDefault="004B56A5" w:rsidP="007401CB">
      <w:pPr>
        <w:rPr>
          <w:rFonts w:ascii="Arial" w:hAnsi="Arial" w:cs="Arial"/>
        </w:rPr>
      </w:pPr>
      <w:r>
        <w:rPr>
          <w:rFonts w:ascii="Arial" w:hAnsi="Arial" w:cs="Arial"/>
        </w:rPr>
        <w:t>Up until and including RAN2#126</w:t>
      </w:r>
      <w:r w:rsidR="00CC5A2B">
        <w:rPr>
          <w:rFonts w:ascii="Arial" w:hAnsi="Arial" w:cs="Arial"/>
        </w:rPr>
        <w:t xml:space="preserve"> a few use cases have been agreed to use as basis for </w:t>
      </w:r>
      <w:r w:rsidR="001239A9">
        <w:rPr>
          <w:rFonts w:ascii="Arial" w:hAnsi="Arial" w:cs="Arial"/>
        </w:rPr>
        <w:t>the definition of</w:t>
      </w:r>
      <w:r w:rsidR="00CC5A2B">
        <w:rPr>
          <w:rFonts w:ascii="Arial" w:hAnsi="Arial" w:cs="Arial"/>
        </w:rPr>
        <w:t xml:space="preserve"> events. The agreed use cases and events are marked in green below </w:t>
      </w:r>
      <w:r w:rsidR="00C51040">
        <w:rPr>
          <w:rFonts w:ascii="Arial" w:hAnsi="Arial" w:cs="Arial"/>
        </w:rPr>
        <w:t xml:space="preserve">in </w:t>
      </w:r>
      <w:r w:rsidR="00D2291C">
        <w:rPr>
          <w:rFonts w:ascii="Arial" w:hAnsi="Arial" w:cs="Arial"/>
        </w:rPr>
        <w:fldChar w:fldCharType="begin"/>
      </w:r>
      <w:r w:rsidR="00D2291C">
        <w:rPr>
          <w:rFonts w:ascii="Arial" w:hAnsi="Arial" w:cs="Arial"/>
        </w:rPr>
        <w:instrText xml:space="preserve"> REF _Ref173755088 \h  \* MERGEFORMAT </w:instrText>
      </w:r>
      <w:r w:rsidR="00D2291C">
        <w:rPr>
          <w:rFonts w:ascii="Arial" w:hAnsi="Arial" w:cs="Arial"/>
        </w:rPr>
      </w:r>
      <w:r w:rsidR="00D2291C">
        <w:rPr>
          <w:rFonts w:ascii="Arial" w:hAnsi="Arial" w:cs="Arial"/>
        </w:rPr>
        <w:fldChar w:fldCharType="separate"/>
      </w:r>
      <w:r w:rsidR="00D2291C" w:rsidRPr="00D2291C">
        <w:rPr>
          <w:rFonts w:ascii="Arial" w:hAnsi="Arial" w:cs="Arial"/>
        </w:rPr>
        <w:t>Figure 1</w:t>
      </w:r>
      <w:r w:rsidR="00D2291C">
        <w:rPr>
          <w:rFonts w:ascii="Arial" w:hAnsi="Arial" w:cs="Arial"/>
        </w:rPr>
        <w:fldChar w:fldCharType="end"/>
      </w:r>
      <w:r w:rsidR="00D2291C">
        <w:rPr>
          <w:rFonts w:ascii="Arial" w:hAnsi="Arial" w:cs="Arial"/>
        </w:rPr>
        <w:t>.</w:t>
      </w:r>
      <w:r w:rsidR="00663DD4">
        <w:rPr>
          <w:rFonts w:ascii="Arial" w:hAnsi="Arial" w:cs="Arial"/>
        </w:rPr>
        <w:t xml:space="preserve"> The </w:t>
      </w:r>
      <w:r w:rsidR="005915D0">
        <w:rPr>
          <w:rFonts w:ascii="Arial" w:hAnsi="Arial" w:cs="Arial"/>
        </w:rPr>
        <w:t xml:space="preserve">suggested </w:t>
      </w:r>
      <w:r w:rsidR="00663DD4">
        <w:rPr>
          <w:rFonts w:ascii="Arial" w:hAnsi="Arial" w:cs="Arial"/>
        </w:rPr>
        <w:t xml:space="preserve">mapping between the use cases and events could be </w:t>
      </w:r>
      <w:r w:rsidR="001239A9">
        <w:rPr>
          <w:rFonts w:ascii="Arial" w:hAnsi="Arial" w:cs="Arial"/>
        </w:rPr>
        <w:t>discussed but</w:t>
      </w:r>
      <w:r w:rsidR="00663DD4">
        <w:rPr>
          <w:rFonts w:ascii="Arial" w:hAnsi="Arial" w:cs="Arial"/>
        </w:rPr>
        <w:t xml:space="preserve"> </w:t>
      </w:r>
      <w:r w:rsidR="00ED1A26">
        <w:rPr>
          <w:rFonts w:ascii="Arial" w:hAnsi="Arial" w:cs="Arial"/>
        </w:rPr>
        <w:t>could be used as a baseline for the discussion in this paper.</w:t>
      </w:r>
    </w:p>
    <w:p w14:paraId="03C2675D" w14:textId="1783D8EA" w:rsidR="00B03B60" w:rsidRPr="00382384" w:rsidRDefault="00B03B60" w:rsidP="00382384"/>
    <w:p w14:paraId="37D4A4CD" w14:textId="77777777" w:rsidR="00C51040" w:rsidRDefault="00560EB6" w:rsidP="00C51040">
      <w:pPr>
        <w:keepNext/>
      </w:pPr>
      <w:r>
        <w:rPr>
          <w:rFonts w:ascii="Arial" w:hAnsi="Arial" w:cs="Arial"/>
          <w:noProof/>
        </w:rPr>
        <w:lastRenderedPageBreak/>
        <w:drawing>
          <wp:inline distT="0" distB="0" distL="0" distR="0" wp14:anchorId="1446E11F" wp14:editId="62319DD6">
            <wp:extent cx="6046839" cy="3519948"/>
            <wp:effectExtent l="0" t="12700" r="0" b="23495"/>
            <wp:docPr id="1872755342"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355FB0C0" w14:textId="2B88119C" w:rsidR="006F6407" w:rsidRDefault="00C51040" w:rsidP="00C51040">
      <w:pPr>
        <w:pStyle w:val="Caption"/>
      </w:pPr>
      <w:bookmarkStart w:id="1" w:name="_Ref173755088"/>
      <w:r>
        <w:t xml:space="preserve">Figure </w:t>
      </w:r>
      <w:r>
        <w:fldChar w:fldCharType="begin"/>
      </w:r>
      <w:r>
        <w:instrText xml:space="preserve"> SEQ Figure \* ARABIC </w:instrText>
      </w:r>
      <w:r>
        <w:fldChar w:fldCharType="separate"/>
      </w:r>
      <w:r>
        <w:rPr>
          <w:noProof/>
        </w:rPr>
        <w:t>1</w:t>
      </w:r>
      <w:r>
        <w:fldChar w:fldCharType="end"/>
      </w:r>
      <w:bookmarkEnd w:id="1"/>
      <w:r>
        <w:t>; Proposed and agreed use cases and events (yellow</w:t>
      </w:r>
      <w:r w:rsidR="00DE4447">
        <w:t>/grey</w:t>
      </w:r>
      <w:r>
        <w:t xml:space="preserve"> = proposed, green = agreed)</w:t>
      </w:r>
    </w:p>
    <w:p w14:paraId="0D6980D3" w14:textId="57F1D783" w:rsidR="005915D0" w:rsidRPr="009935DA" w:rsidRDefault="009935DA" w:rsidP="005915D0">
      <w:pPr>
        <w:rPr>
          <w:rFonts w:ascii="Arial" w:hAnsi="Arial"/>
          <w:lang w:eastAsia="zh-CN"/>
        </w:rPr>
      </w:pPr>
      <w:r w:rsidRPr="009935DA">
        <w:rPr>
          <w:rFonts w:ascii="Arial" w:hAnsi="Arial"/>
          <w:lang w:eastAsia="zh-CN"/>
        </w:rPr>
        <w:t xml:space="preserve">One </w:t>
      </w:r>
      <w:r>
        <w:rPr>
          <w:rFonts w:ascii="Arial" w:hAnsi="Arial"/>
          <w:lang w:eastAsia="zh-CN"/>
        </w:rPr>
        <w:t>event that were discussed during RAN2#126 but never agreed was “</w:t>
      </w:r>
      <w:r w:rsidRPr="009935DA">
        <w:rPr>
          <w:rFonts w:ascii="Arial" w:hAnsi="Arial"/>
          <w:lang w:eastAsia="zh-CN"/>
        </w:rPr>
        <w:t>Beam of serving cell becomes better than absolute threshold</w:t>
      </w:r>
      <w:r>
        <w:rPr>
          <w:rFonts w:ascii="Arial" w:hAnsi="Arial"/>
          <w:lang w:eastAsia="zh-CN"/>
        </w:rPr>
        <w:t>”</w:t>
      </w:r>
      <w:r w:rsidR="00C20718">
        <w:rPr>
          <w:rFonts w:ascii="Arial" w:hAnsi="Arial"/>
          <w:lang w:eastAsia="zh-CN"/>
        </w:rPr>
        <w:t>. This event</w:t>
      </w:r>
      <w:r w:rsidR="00530882">
        <w:rPr>
          <w:rFonts w:ascii="Arial" w:hAnsi="Arial"/>
          <w:lang w:eastAsia="zh-CN"/>
        </w:rPr>
        <w:t xml:space="preserve"> can be used for the network to know that </w:t>
      </w:r>
      <w:r w:rsidR="0001616E">
        <w:rPr>
          <w:rFonts w:ascii="Arial" w:hAnsi="Arial"/>
          <w:lang w:eastAsia="zh-CN"/>
        </w:rPr>
        <w:t>it does not have to consider mobility procedures any longer, since the serving cell is above a defined threshold.</w:t>
      </w:r>
    </w:p>
    <w:p w14:paraId="141F247D" w14:textId="6ADE3EC1" w:rsidR="002C6AE7" w:rsidRDefault="002C6AE7" w:rsidP="002C6AE7">
      <w:pPr>
        <w:pStyle w:val="Observation"/>
      </w:pPr>
      <w:bookmarkStart w:id="2" w:name="_Toc174083970"/>
      <w:r>
        <w:t>Adding the event “</w:t>
      </w:r>
      <w:r w:rsidRPr="00382384">
        <w:t>Beam of serving cell becomes better than absolute threshold</w:t>
      </w:r>
      <w:r>
        <w:t xml:space="preserve">” would </w:t>
      </w:r>
      <w:r w:rsidR="007868E0">
        <w:t xml:space="preserve">enable </w:t>
      </w:r>
      <w:r w:rsidR="0007082A">
        <w:t xml:space="preserve">the network </w:t>
      </w:r>
      <w:r w:rsidR="009B6E10">
        <w:t xml:space="preserve">to </w:t>
      </w:r>
      <w:r w:rsidR="00B11780">
        <w:t xml:space="preserve">stop LTM and optionally </w:t>
      </w:r>
      <w:r w:rsidR="00D56B85">
        <w:t>release all LTM candidate configurations</w:t>
      </w:r>
      <w:r>
        <w:t>.</w:t>
      </w:r>
      <w:bookmarkEnd w:id="2"/>
    </w:p>
    <w:p w14:paraId="35BD4465" w14:textId="74B00F01" w:rsidR="00893FC8" w:rsidRPr="0068158E" w:rsidRDefault="00314596" w:rsidP="00893FC8">
      <w:pPr>
        <w:pStyle w:val="Proposal"/>
      </w:pPr>
      <w:bookmarkStart w:id="3" w:name="_Toc174083960"/>
      <w:r w:rsidRPr="00314596">
        <w:t xml:space="preserve">Add </w:t>
      </w:r>
      <w:r w:rsidR="004A5495">
        <w:t xml:space="preserve">the </w:t>
      </w:r>
      <w:r w:rsidRPr="00314596">
        <w:t>event “Beam of serving cell becomes better than absolute threshold” to the L1 event-triggered reporting</w:t>
      </w:r>
      <w:r w:rsidR="00893FC8">
        <w:t>.</w:t>
      </w:r>
      <w:bookmarkEnd w:id="3"/>
    </w:p>
    <w:p w14:paraId="60D26CF3" w14:textId="5DB505BF" w:rsidR="00480B6E" w:rsidRDefault="002815B8" w:rsidP="007401CB">
      <w:pPr>
        <w:rPr>
          <w:rFonts w:ascii="Arial" w:hAnsi="Arial" w:cs="Arial"/>
        </w:rPr>
      </w:pPr>
      <w:r>
        <w:rPr>
          <w:rFonts w:ascii="Arial" w:hAnsi="Arial" w:cs="Arial"/>
        </w:rPr>
        <w:t xml:space="preserve">For the not already agreed use cases we propose to add “Release LTM Candidate Configuration” and “Early Sync deactivation of LTM candidate cells” to the </w:t>
      </w:r>
      <w:r w:rsidR="0078712E">
        <w:rPr>
          <w:rFonts w:ascii="Arial" w:hAnsi="Arial" w:cs="Arial"/>
        </w:rPr>
        <w:t>supported ones to enable discussion of further events for this.</w:t>
      </w:r>
    </w:p>
    <w:p w14:paraId="12E20D3C" w14:textId="7A105C93" w:rsidR="007157B9" w:rsidRDefault="007157B9" w:rsidP="007157B9">
      <w:pPr>
        <w:pStyle w:val="Observation"/>
      </w:pPr>
      <w:bookmarkStart w:id="4" w:name="_Toc174083971"/>
      <w:r>
        <w:t>More use cases can be considered to define necessary events.</w:t>
      </w:r>
      <w:bookmarkEnd w:id="4"/>
    </w:p>
    <w:p w14:paraId="239693D6" w14:textId="71017AC1" w:rsidR="007157B9" w:rsidRDefault="00D6338D" w:rsidP="007157B9">
      <w:pPr>
        <w:pStyle w:val="Proposal"/>
      </w:pPr>
      <w:bookmarkStart w:id="5" w:name="_Toc174083961"/>
      <w:r w:rsidRPr="00D6338D">
        <w:t xml:space="preserve">Add use cases “Release LTM Candidate Configuration” and “Early Sync </w:t>
      </w:r>
      <w:r w:rsidR="006516B5">
        <w:t>management</w:t>
      </w:r>
      <w:r w:rsidRPr="00D6338D">
        <w:t xml:space="preserve"> of LTM candidate cells” to the list of supported use cases for L1 event-triggered reporting</w:t>
      </w:r>
      <w:r w:rsidR="007157B9">
        <w:t>.</w:t>
      </w:r>
      <w:bookmarkEnd w:id="5"/>
    </w:p>
    <w:p w14:paraId="1F879BD7" w14:textId="7EEE5C48" w:rsidR="007157B9" w:rsidRPr="006516B5" w:rsidRDefault="00252390" w:rsidP="006516B5">
      <w:pPr>
        <w:pStyle w:val="Proposal"/>
        <w:rPr>
          <w:lang w:val="en-US"/>
        </w:rPr>
      </w:pPr>
      <w:bookmarkStart w:id="6" w:name="_Toc174083962"/>
      <w:r w:rsidRPr="00252390">
        <w:t>Add the event</w:t>
      </w:r>
      <w:r w:rsidR="00ED4EF4">
        <w:t xml:space="preserve"> </w:t>
      </w:r>
      <w:r w:rsidRPr="00252390">
        <w:t>“</w:t>
      </w:r>
      <w:r w:rsidR="00197377" w:rsidRPr="00197377">
        <w:rPr>
          <w:lang w:val="en-US"/>
        </w:rPr>
        <w:t>Beam of candidate cell becomes offset better than pre-activated beam of candidate cell</w:t>
      </w:r>
      <w:r w:rsidRPr="00252390">
        <w:t xml:space="preserve">” to the L1 event-triggered </w:t>
      </w:r>
      <w:r>
        <w:t>reporting</w:t>
      </w:r>
      <w:r w:rsidR="00002128">
        <w:t>.</w:t>
      </w:r>
      <w:bookmarkEnd w:id="6"/>
    </w:p>
    <w:p w14:paraId="3792C5BE" w14:textId="068D1BB2" w:rsidR="006A440B" w:rsidRPr="00BD1E72" w:rsidRDefault="00BD1E72" w:rsidP="00BD1E72">
      <w:pPr>
        <w:pStyle w:val="Proposal"/>
        <w:rPr>
          <w:lang w:val="en-US"/>
        </w:rPr>
      </w:pPr>
      <w:bookmarkStart w:id="7" w:name="_Toc174083963"/>
      <w:r>
        <w:t>As a secondary priority, add the event</w:t>
      </w:r>
      <w:r w:rsidR="00ED4EF4">
        <w:t xml:space="preserve"> </w:t>
      </w:r>
      <w:r>
        <w:t>“</w:t>
      </w:r>
      <w:r w:rsidRPr="00BD1E72">
        <w:rPr>
          <w:lang w:val="en-US"/>
        </w:rPr>
        <w:t>Beam of candidate cell becomes worse than absolute threshold</w:t>
      </w:r>
      <w:r>
        <w:t>”</w:t>
      </w:r>
      <w:bookmarkEnd w:id="7"/>
    </w:p>
    <w:p w14:paraId="57E0389F" w14:textId="3E217798" w:rsidR="00682D64" w:rsidRDefault="00682D64" w:rsidP="00682D64">
      <w:pPr>
        <w:pStyle w:val="Heading2"/>
      </w:pPr>
      <w:r>
        <w:t>2.2</w:t>
      </w:r>
      <w:r>
        <w:tab/>
        <w:t>Beam level vs Cell level measurements</w:t>
      </w:r>
    </w:p>
    <w:p w14:paraId="62C38A9C" w14:textId="15C40704" w:rsidR="00682D64" w:rsidRDefault="00682D64" w:rsidP="00682D64">
      <w:pPr>
        <w:pStyle w:val="BodyText"/>
      </w:pPr>
      <w:r>
        <w:t>A further aspect to be addressed is whether the UE should perform measurement</w:t>
      </w:r>
      <w:r w:rsidR="00B26CF5">
        <w:t>s</w:t>
      </w:r>
      <w:r>
        <w:t xml:space="preserve"> based on beam- or cell-level. In our view, for event-triggered L1 measurement reporting, beam-level measurements may suffice since the decision to trigger LTM is based on the network implementation. The network has a comprehensive overview of all beams based on the beam-level measurements in event-triggered L1 measurement reporting. However, cell-level measurement events might be necessary in certain scenarios, such as in Conditional LTM when the handover is triggered by the UE itself based on the Conditional LTM execution conditions. In such cases, we may postpone the use of events evaluated based on cell-level measurements when Conditional LTM will start.</w:t>
      </w:r>
    </w:p>
    <w:p w14:paraId="02A97551" w14:textId="77777777" w:rsidR="00682D64" w:rsidRDefault="00682D64" w:rsidP="00682D64">
      <w:pPr>
        <w:pStyle w:val="Proposal"/>
      </w:pPr>
      <w:bookmarkStart w:id="8" w:name="_Toc174083964"/>
      <w:r>
        <w:lastRenderedPageBreak/>
        <w:t>The need of events evaluated based on cell-level measurements is discussed within the conditional LTM objective.</w:t>
      </w:r>
      <w:bookmarkEnd w:id="8"/>
    </w:p>
    <w:p w14:paraId="04AC5849" w14:textId="1D6A8749" w:rsidR="00682D64" w:rsidRDefault="00286FFB" w:rsidP="00286FFB">
      <w:pPr>
        <w:pStyle w:val="BodyText"/>
      </w:pPr>
      <w:r>
        <w:t xml:space="preserve">In the last RAN2 meeting it was agreed that the use of beam level measurements for the events evaluation is the baseline. However, </w:t>
      </w:r>
      <w:r w:rsidR="000D0681">
        <w:t xml:space="preserve">it is still not clear what beams are used for the evaluation. </w:t>
      </w:r>
      <w:r w:rsidR="004730E2">
        <w:t>There are several options that can be exploited, such as:</w:t>
      </w:r>
    </w:p>
    <w:p w14:paraId="6D2FFD56" w14:textId="165BCB6F" w:rsidR="004730E2" w:rsidRDefault="004730E2" w:rsidP="004730E2">
      <w:pPr>
        <w:pStyle w:val="BodyText"/>
        <w:numPr>
          <w:ilvl w:val="0"/>
          <w:numId w:val="44"/>
        </w:numPr>
      </w:pPr>
      <w:r>
        <w:t>Only the best beam is used for the event evaluation</w:t>
      </w:r>
    </w:p>
    <w:p w14:paraId="1984F593" w14:textId="07722B26" w:rsidR="004730E2" w:rsidRDefault="009C4606" w:rsidP="004730E2">
      <w:pPr>
        <w:pStyle w:val="BodyText"/>
        <w:numPr>
          <w:ilvl w:val="0"/>
          <w:numId w:val="44"/>
        </w:numPr>
      </w:pPr>
      <w:r>
        <w:t>The best N beams are used for the event evaluation</w:t>
      </w:r>
    </w:p>
    <w:p w14:paraId="0E9AD1A4" w14:textId="39F1AC77" w:rsidR="009C4606" w:rsidRDefault="009C4606" w:rsidP="004730E2">
      <w:pPr>
        <w:pStyle w:val="BodyText"/>
        <w:numPr>
          <w:ilvl w:val="0"/>
          <w:numId w:val="44"/>
        </w:numPr>
      </w:pPr>
      <w:r>
        <w:t>The beams above a threshold X are used for the event evaluation</w:t>
      </w:r>
    </w:p>
    <w:p w14:paraId="62F911E5" w14:textId="5B3369E3" w:rsidR="009C4606" w:rsidRDefault="009C4606" w:rsidP="004730E2">
      <w:pPr>
        <w:pStyle w:val="BodyText"/>
        <w:numPr>
          <w:ilvl w:val="0"/>
          <w:numId w:val="44"/>
        </w:numPr>
      </w:pPr>
      <w:r>
        <w:t>The currently activated beam(s) is used for the evaluation</w:t>
      </w:r>
    </w:p>
    <w:p w14:paraId="7288EF5D" w14:textId="7E0E08A9" w:rsidR="00EF793E" w:rsidRDefault="00EF793E" w:rsidP="00EF793E">
      <w:pPr>
        <w:pStyle w:val="BodyText"/>
      </w:pPr>
      <w:r>
        <w:t xml:space="preserve">However, we </w:t>
      </w:r>
      <w:r w:rsidR="0047117D">
        <w:t xml:space="preserve">think </w:t>
      </w:r>
      <w:r>
        <w:t xml:space="preserve">that this topic is out of the RAN2 </w:t>
      </w:r>
      <w:r w:rsidR="00A73B9C">
        <w:t>domain,</w:t>
      </w:r>
      <w:r>
        <w:t xml:space="preserve"> and it would be to leave the decision to RAN1, which is the working group that has more knowledge about this. Therefore, we propose:</w:t>
      </w:r>
    </w:p>
    <w:p w14:paraId="2BF48562" w14:textId="72A5BE18" w:rsidR="00682D64" w:rsidRDefault="00C36A61" w:rsidP="00A73B9C">
      <w:pPr>
        <w:pStyle w:val="Style1"/>
      </w:pPr>
      <w:r>
        <w:t xml:space="preserve">The decision on </w:t>
      </w:r>
      <w:r w:rsidRPr="00C36A61">
        <w:t>what beam(s) of the serving cell and neighbouring cell is used for event evaluation</w:t>
      </w:r>
      <w:r>
        <w:t xml:space="preserve"> is left to RAN1. </w:t>
      </w:r>
      <w:r w:rsidR="006F28C1">
        <w:t xml:space="preserve">RAN2 to consider </w:t>
      </w:r>
      <w:r w:rsidR="00897297">
        <w:t>sending</w:t>
      </w:r>
      <w:r w:rsidR="006F28C1">
        <w:t xml:space="preserve"> an LS about this.</w:t>
      </w:r>
    </w:p>
    <w:p w14:paraId="026A9D7A" w14:textId="47803E92" w:rsidR="00046EBB" w:rsidRDefault="00046EBB" w:rsidP="00046EBB">
      <w:pPr>
        <w:pStyle w:val="Heading2"/>
      </w:pPr>
      <w:r>
        <w:t>2.3</w:t>
      </w:r>
      <w:r>
        <w:tab/>
        <w:t>Triggering for sending the measurement report</w:t>
      </w:r>
    </w:p>
    <w:p w14:paraId="5FFB3D39" w14:textId="19380D1A" w:rsidR="00046EBB" w:rsidRDefault="00046EBB" w:rsidP="00046EBB">
      <w:pPr>
        <w:pStyle w:val="BodyText"/>
      </w:pPr>
      <w:r>
        <w:t xml:space="preserve">One open issue is whether a measurement report should be </w:t>
      </w:r>
      <w:r w:rsidR="009F67D5">
        <w:t>sent</w:t>
      </w:r>
      <w:r>
        <w:t xml:space="preserve"> when the leaving condition is met.</w:t>
      </w:r>
      <w:r w:rsidR="009F67D5">
        <w:t xml:space="preserve"> In L3 measurements, a UE sends a measurement report when the field </w:t>
      </w:r>
      <w:proofErr w:type="spellStart"/>
      <w:r w:rsidR="009F67D5">
        <w:t>reportOnLeave</w:t>
      </w:r>
      <w:proofErr w:type="spellEnd"/>
      <w:r w:rsidR="009F67D5">
        <w:t xml:space="preserve"> is configured and also when the leaving condition is met for a certain event. For L1, it would be to align as this information is particularly useful for the network to understand which of the configured candidate cell is not good anymore. This may lead the network to release such candidate cell or to disable certain feature such as the UL or DL early synchronization.</w:t>
      </w:r>
      <w:r w:rsidR="009F67D5" w:rsidRPr="009F67D5">
        <w:t xml:space="preserve"> Therefore, we propose:</w:t>
      </w:r>
      <w:r w:rsidR="009F67D5">
        <w:t xml:space="preserve"> </w:t>
      </w:r>
    </w:p>
    <w:p w14:paraId="475A284E" w14:textId="1A09CD0F" w:rsidR="009F67D5" w:rsidRDefault="009F67D5" w:rsidP="009F67D5">
      <w:pPr>
        <w:pStyle w:val="Proposal"/>
      </w:pPr>
      <w:bookmarkStart w:id="9" w:name="_Toc174083965"/>
      <w:r>
        <w:t xml:space="preserve">The UE </w:t>
      </w:r>
      <w:r w:rsidR="00B26CF5">
        <w:t xml:space="preserve">can be configured to </w:t>
      </w:r>
      <w:r>
        <w:t>send a L1 measurement report when the leaving condition is met for L1 event</w:t>
      </w:r>
      <w:r w:rsidR="00B26CF5">
        <w:t>, similar to what is available for L3 measurements</w:t>
      </w:r>
      <w:r>
        <w:t>.</w:t>
      </w:r>
      <w:bookmarkEnd w:id="9"/>
    </w:p>
    <w:p w14:paraId="564D317C" w14:textId="4C798BDA" w:rsidR="009F67D5" w:rsidRDefault="00206861" w:rsidP="009F67D5">
      <w:pPr>
        <w:pStyle w:val="BodyText"/>
      </w:pPr>
      <w:r>
        <w:t>Another aspect which would be good to align with what we have for L3 is the sending of a measurement report periodically after an event criterion has been fulfilled. This is particularly useful for feature like LTM because it will guarantee the network to have very timely information from the UE before taking the decision on whether to trigger an LTM cell switch procedure or not.</w:t>
      </w:r>
      <w:r w:rsidR="00C96F23">
        <w:t xml:space="preserve"> Thus, our proposal is:</w:t>
      </w:r>
    </w:p>
    <w:p w14:paraId="3B06208D" w14:textId="1DFA255F" w:rsidR="00C96F23" w:rsidRPr="009F67D5" w:rsidRDefault="00431FEB" w:rsidP="00431FEB">
      <w:pPr>
        <w:pStyle w:val="Proposal"/>
      </w:pPr>
      <w:bookmarkStart w:id="10" w:name="_Toc174083966"/>
      <w:r>
        <w:t>The UE send</w:t>
      </w:r>
      <w:r w:rsidR="00B26CF5">
        <w:t>s</w:t>
      </w:r>
      <w:r>
        <w:t xml:space="preserve"> periodi</w:t>
      </w:r>
      <w:r w:rsidR="00B26CF5">
        <w:t>c</w:t>
      </w:r>
      <w:r>
        <w:t xml:space="preserve"> L1 measurement reports after event-related measurement report has been sent. </w:t>
      </w:r>
      <w:r w:rsidR="00AB4828">
        <w:t xml:space="preserve">A report </w:t>
      </w:r>
      <w:r w:rsidR="00A35F48">
        <w:t>amount</w:t>
      </w:r>
      <w:r w:rsidR="00AB4828">
        <w:t xml:space="preserve"> and</w:t>
      </w:r>
      <w:r w:rsidR="00A35F48">
        <w:t xml:space="preserve"> report interval as specified, similar to what is available for L3 measurements.</w:t>
      </w:r>
      <w:bookmarkEnd w:id="10"/>
      <w:r w:rsidR="00AB4828">
        <w:t xml:space="preserve"> </w:t>
      </w:r>
    </w:p>
    <w:p w14:paraId="15FA3218" w14:textId="240B7926" w:rsidR="009E4C0D" w:rsidRDefault="009E4C0D" w:rsidP="009E4C0D">
      <w:pPr>
        <w:pStyle w:val="Heading2"/>
      </w:pPr>
      <w:r>
        <w:t>2.4</w:t>
      </w:r>
      <w:r>
        <w:tab/>
        <w:t>Report content</w:t>
      </w:r>
    </w:p>
    <w:p w14:paraId="476D0718" w14:textId="77777777" w:rsidR="009E4C0D" w:rsidRDefault="009E4C0D" w:rsidP="009E4C0D">
      <w:pPr>
        <w:pStyle w:val="BodyText"/>
      </w:pPr>
      <w:r>
        <w:t xml:space="preserve">The current LTM measurement report is a natural starting point for the discussion on the report content although adaptations for event-triggered reports need to be done. To begin with, it must be clear to the network what was the event that triggered the reporting. It appears reasonable that all configured events are associated with an event ID and that the measurement report includes the ID of the triggering event. </w:t>
      </w:r>
    </w:p>
    <w:p w14:paraId="3CB60E6B" w14:textId="77777777" w:rsidR="009E4C0D" w:rsidRDefault="009E4C0D" w:rsidP="009E4C0D">
      <w:pPr>
        <w:pStyle w:val="Proposal"/>
        <w:tabs>
          <w:tab w:val="num" w:pos="1304"/>
        </w:tabs>
        <w:overflowPunct/>
        <w:autoSpaceDE/>
        <w:autoSpaceDN/>
        <w:adjustRightInd/>
        <w:ind w:left="1304" w:hanging="1304"/>
        <w:textAlignment w:val="auto"/>
        <w:rPr>
          <w:lang w:eastAsia="ja-JP"/>
        </w:rPr>
      </w:pPr>
      <w:bookmarkStart w:id="11" w:name="_Toc173412430"/>
      <w:bookmarkStart w:id="12" w:name="_Toc174083967"/>
      <w:r w:rsidRPr="00E96CDA">
        <w:t>Event triggered LTM measurement report should include an identifier of the event and conditions that triggered the report.</w:t>
      </w:r>
      <w:bookmarkEnd w:id="11"/>
      <w:bookmarkEnd w:id="12"/>
    </w:p>
    <w:p w14:paraId="2F53EB86" w14:textId="77777777" w:rsidR="009E4C0D" w:rsidRDefault="009E4C0D" w:rsidP="009E4C0D">
      <w:pPr>
        <w:pStyle w:val="BodyText"/>
      </w:pPr>
      <w:r>
        <w:t xml:space="preserve">Below we propose additional report content for each event type that has been agreed in RAN2. </w:t>
      </w:r>
    </w:p>
    <w:p w14:paraId="417F468D" w14:textId="77777777" w:rsidR="009E4C0D" w:rsidRDefault="009E4C0D" w:rsidP="009E4C0D">
      <w:pPr>
        <w:pStyle w:val="BodyText"/>
      </w:pPr>
      <w:r w:rsidRPr="00E96CDA">
        <w:rPr>
          <w:u w:val="single"/>
        </w:rPr>
        <w:t>LTM2:</w:t>
      </w:r>
      <w:r>
        <w:t xml:space="preserve"> From the fact that the event has triggered, the network can conclude that the RSRP of the serving beam is below the configured threshold. It is however beneficial for the network to know the exact RSRP of the serving beam to understand the urgency and how fast the conditions are degrading:</w:t>
      </w:r>
    </w:p>
    <w:p w14:paraId="4AC26504" w14:textId="77777777" w:rsidR="009E4C0D" w:rsidRDefault="009E4C0D" w:rsidP="00145A2A">
      <w:pPr>
        <w:pStyle w:val="Observation"/>
      </w:pPr>
      <w:bookmarkStart w:id="13" w:name="_Ref173137831"/>
      <w:bookmarkStart w:id="14" w:name="_Toc173412431"/>
      <w:bookmarkStart w:id="15" w:name="_Toc174083972"/>
      <w:r>
        <w:t>For LTM2 the measurement report should include the RSRP of the serving beam.</w:t>
      </w:r>
      <w:bookmarkEnd w:id="13"/>
      <w:bookmarkEnd w:id="14"/>
      <w:bookmarkEnd w:id="15"/>
    </w:p>
    <w:p w14:paraId="1EAA2378" w14:textId="77777777" w:rsidR="009E4C0D" w:rsidRDefault="009E4C0D" w:rsidP="009E4C0D">
      <w:pPr>
        <w:pStyle w:val="BodyText"/>
      </w:pPr>
      <w:r w:rsidRPr="00E96CDA">
        <w:rPr>
          <w:u w:val="single"/>
        </w:rPr>
        <w:t>LTM3:</w:t>
      </w:r>
      <w:r>
        <w:t xml:space="preserve"> This event is triggered by conditions on two different resources: the candidate beam and the serving beam. The candidate beam identity is the target of a mobility action (</w:t>
      </w:r>
      <w:proofErr w:type="spellStart"/>
      <w:r>
        <w:t>presync</w:t>
      </w:r>
      <w:proofErr w:type="spellEnd"/>
      <w:r>
        <w:t xml:space="preserve"> or cell switch) and need to be included in the report. It can be beneficial to also include the serving beam RSRP to give the network more detailed understanding of the situation: </w:t>
      </w:r>
    </w:p>
    <w:p w14:paraId="001F8458" w14:textId="77777777" w:rsidR="009E4C0D" w:rsidRPr="00145A2A" w:rsidRDefault="009E4C0D" w:rsidP="00145A2A">
      <w:pPr>
        <w:pStyle w:val="Observation"/>
      </w:pPr>
      <w:bookmarkStart w:id="16" w:name="_Toc173412432"/>
      <w:bookmarkStart w:id="17" w:name="_Toc174083973"/>
      <w:r w:rsidRPr="00145A2A">
        <w:t>For LTM3 the measurement report should include an identifier of the candidate beam that triggered the event, the RSRP of the triggering beam, and the serving beam RSRP.</w:t>
      </w:r>
      <w:bookmarkEnd w:id="16"/>
      <w:bookmarkEnd w:id="17"/>
    </w:p>
    <w:p w14:paraId="5424DDF6" w14:textId="08AC7F41" w:rsidR="009E4C0D" w:rsidRPr="009E4C0D" w:rsidRDefault="009E4C0D" w:rsidP="009E4C0D">
      <w:pPr>
        <w:pStyle w:val="BodyText"/>
      </w:pPr>
      <w:r w:rsidRPr="009E4C0D">
        <w:lastRenderedPageBreak/>
        <w:t>LTM4: This event is triggered when a candidate beam becomes better than an absolute threshold. The candidate beam identifier needs to be included in the report since it is the mobility target</w:t>
      </w:r>
      <w:r w:rsidR="00725722">
        <w:t xml:space="preserve"> as well as the RSRP of the candidate beam</w:t>
      </w:r>
      <w:r w:rsidRPr="009E4C0D">
        <w:t>.</w:t>
      </w:r>
    </w:p>
    <w:p w14:paraId="256416D7" w14:textId="77777777" w:rsidR="009E4C0D" w:rsidRDefault="009E4C0D" w:rsidP="00145A2A">
      <w:pPr>
        <w:pStyle w:val="Observation"/>
      </w:pPr>
      <w:bookmarkStart w:id="18" w:name="_Toc173412433"/>
      <w:bookmarkStart w:id="19" w:name="_Toc174083974"/>
      <w:r>
        <w:t>For LTM4 the measurement report should include an identifier of the candidate beam that triggered the event, and the corresponding RSRP.</w:t>
      </w:r>
      <w:bookmarkEnd w:id="18"/>
      <w:bookmarkEnd w:id="19"/>
    </w:p>
    <w:p w14:paraId="0BCCEA42" w14:textId="77777777" w:rsidR="009E4C0D" w:rsidRPr="009E4C0D" w:rsidRDefault="009E4C0D" w:rsidP="009E4C0D">
      <w:pPr>
        <w:pStyle w:val="BodyText"/>
      </w:pPr>
      <w:r w:rsidRPr="009E4C0D">
        <w:t>LTM5: This event is triggered by conditions on two different resources: the serving beam which is worse than a first absolute threshold and a candidate beam that is better than a second absolute threshold. It is the combination of LTM2 and LTM4 and for the reasons already mentioned for those events, we think that the serving beam RSRP, an identifier of the candidate beam that triggered the event, and the RSRP of the triggering beam should be included in the measurement report when LTM5 is triggered.</w:t>
      </w:r>
    </w:p>
    <w:p w14:paraId="4F43A9A3" w14:textId="77777777" w:rsidR="009E4C0D" w:rsidRDefault="009E4C0D" w:rsidP="00145A2A">
      <w:pPr>
        <w:pStyle w:val="Observation"/>
      </w:pPr>
      <w:bookmarkStart w:id="20" w:name="_Ref173137834"/>
      <w:bookmarkStart w:id="21" w:name="_Toc173412434"/>
      <w:bookmarkStart w:id="22" w:name="_Toc174083975"/>
      <w:r>
        <w:t>For LTM5 the measurement report should include the serving beam RSRP, an identifier of the candidate beam that triggered the event, and the corresponding RSRP.</w:t>
      </w:r>
      <w:bookmarkEnd w:id="20"/>
      <w:bookmarkEnd w:id="21"/>
      <w:bookmarkEnd w:id="22"/>
    </w:p>
    <w:p w14:paraId="71CFACE0" w14:textId="112F7EA1" w:rsidR="009E4C0D" w:rsidRDefault="009E4C0D" w:rsidP="009E4C0D">
      <w:pPr>
        <w:pStyle w:val="BodyText"/>
      </w:pPr>
      <w:r>
        <w:t xml:space="preserve">The above </w:t>
      </w:r>
      <w:r w:rsidR="008334AF">
        <w:t xml:space="preserve">observations </w:t>
      </w:r>
      <w:r>
        <w:t xml:space="preserve">are summarized in </w:t>
      </w:r>
      <w:r>
        <w:fldChar w:fldCharType="begin"/>
      </w:r>
      <w:r>
        <w:instrText xml:space="preserve"> REF _Ref173138105 \h  \* MERGEFORMAT </w:instrText>
      </w:r>
      <w:r>
        <w:fldChar w:fldCharType="separate"/>
      </w:r>
      <w:r>
        <w:t xml:space="preserve">Table </w:t>
      </w:r>
      <w:r>
        <w:rPr>
          <w:noProof/>
        </w:rPr>
        <w:t>1</w:t>
      </w:r>
      <w:r>
        <w:fldChar w:fldCharType="end"/>
      </w:r>
    </w:p>
    <w:tbl>
      <w:tblPr>
        <w:tblStyle w:val="GridTable1Light"/>
        <w:tblW w:w="0" w:type="auto"/>
        <w:jc w:val="center"/>
        <w:tblLook w:val="04A0" w:firstRow="1" w:lastRow="0" w:firstColumn="1" w:lastColumn="0" w:noHBand="0" w:noVBand="1"/>
      </w:tblPr>
      <w:tblGrid>
        <w:gridCol w:w="1129"/>
        <w:gridCol w:w="6663"/>
      </w:tblGrid>
      <w:tr w:rsidR="009E4C0D" w:rsidRPr="00B652E0" w14:paraId="697AD9F9" w14:textId="7777777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tcPr>
          <w:p w14:paraId="47280556" w14:textId="77777777" w:rsidR="009E4C0D" w:rsidRPr="00346F62" w:rsidRDefault="009E4C0D">
            <w:pPr>
              <w:pStyle w:val="TH"/>
              <w:rPr>
                <w:b/>
                <w:bCs w:val="0"/>
                <w:lang w:val="en-US"/>
              </w:rPr>
            </w:pPr>
            <w:r>
              <w:rPr>
                <w:b/>
                <w:bCs w:val="0"/>
                <w:lang w:val="en-US"/>
              </w:rPr>
              <w:t>Event</w:t>
            </w:r>
          </w:p>
        </w:tc>
        <w:tc>
          <w:tcPr>
            <w:tcW w:w="6663" w:type="dxa"/>
          </w:tcPr>
          <w:p w14:paraId="656186BC" w14:textId="77777777" w:rsidR="009E4C0D" w:rsidRPr="00346F62" w:rsidRDefault="009E4C0D">
            <w:pPr>
              <w:pStyle w:val="T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Measurement report content</w:t>
            </w:r>
          </w:p>
        </w:tc>
      </w:tr>
      <w:tr w:rsidR="009E4C0D" w:rsidRPr="00B652E0" w14:paraId="60B14EAE" w14:textId="77777777">
        <w:trPr>
          <w:jc w:val="center"/>
        </w:trPr>
        <w:tc>
          <w:tcPr>
            <w:cnfStyle w:val="001000000000" w:firstRow="0" w:lastRow="0" w:firstColumn="1" w:lastColumn="0" w:oddVBand="0" w:evenVBand="0" w:oddHBand="0" w:evenHBand="0" w:firstRowFirstColumn="0" w:firstRowLastColumn="0" w:lastRowFirstColumn="0" w:lastRowLastColumn="0"/>
            <w:tcW w:w="1129" w:type="dxa"/>
          </w:tcPr>
          <w:p w14:paraId="29091314" w14:textId="77777777" w:rsidR="009E4C0D" w:rsidRPr="00346F62" w:rsidRDefault="009E4C0D">
            <w:pPr>
              <w:pStyle w:val="TH"/>
              <w:rPr>
                <w:b/>
                <w:bCs w:val="0"/>
              </w:rPr>
            </w:pPr>
            <w:r w:rsidRPr="00346F62">
              <w:rPr>
                <w:b/>
                <w:bCs w:val="0"/>
              </w:rPr>
              <w:t>LTM2</w:t>
            </w:r>
          </w:p>
        </w:tc>
        <w:tc>
          <w:tcPr>
            <w:tcW w:w="6663" w:type="dxa"/>
          </w:tcPr>
          <w:p w14:paraId="5C2DB623" w14:textId="77777777" w:rsidR="009E4C0D" w:rsidRPr="00346F62" w:rsidRDefault="009E4C0D">
            <w:pPr>
              <w:pStyle w:val="TH"/>
              <w:cnfStyle w:val="000000000000" w:firstRow="0" w:lastRow="0" w:firstColumn="0" w:lastColumn="0" w:oddVBand="0" w:evenVBand="0" w:oddHBand="0" w:evenHBand="0" w:firstRowFirstColumn="0" w:firstRowLastColumn="0" w:lastRowFirstColumn="0" w:lastRowLastColumn="0"/>
              <w:rPr>
                <w:b w:val="0"/>
                <w:bCs/>
              </w:rPr>
            </w:pPr>
            <w:r w:rsidRPr="00346F62">
              <w:rPr>
                <w:b w:val="0"/>
                <w:bCs/>
              </w:rPr>
              <w:t>Serving beam RSRP</w:t>
            </w:r>
          </w:p>
        </w:tc>
      </w:tr>
      <w:tr w:rsidR="009E4C0D" w:rsidRPr="00B652E0" w14:paraId="71491DA9" w14:textId="77777777">
        <w:trPr>
          <w:jc w:val="center"/>
        </w:trPr>
        <w:tc>
          <w:tcPr>
            <w:cnfStyle w:val="001000000000" w:firstRow="0" w:lastRow="0" w:firstColumn="1" w:lastColumn="0" w:oddVBand="0" w:evenVBand="0" w:oddHBand="0" w:evenHBand="0" w:firstRowFirstColumn="0" w:firstRowLastColumn="0" w:lastRowFirstColumn="0" w:lastRowLastColumn="0"/>
            <w:tcW w:w="1129" w:type="dxa"/>
          </w:tcPr>
          <w:p w14:paraId="0D244D9E" w14:textId="77777777" w:rsidR="009E4C0D" w:rsidRPr="00346F62" w:rsidRDefault="009E4C0D">
            <w:pPr>
              <w:pStyle w:val="TH"/>
              <w:rPr>
                <w:b/>
                <w:bCs w:val="0"/>
              </w:rPr>
            </w:pPr>
            <w:r w:rsidRPr="00346F62">
              <w:rPr>
                <w:b/>
                <w:bCs w:val="0"/>
              </w:rPr>
              <w:t>LTM3</w:t>
            </w:r>
          </w:p>
        </w:tc>
        <w:tc>
          <w:tcPr>
            <w:tcW w:w="6663" w:type="dxa"/>
          </w:tcPr>
          <w:p w14:paraId="44C26929" w14:textId="77777777" w:rsidR="009E4C0D" w:rsidRPr="00346F62" w:rsidRDefault="009E4C0D">
            <w:pPr>
              <w:pStyle w:val="TH"/>
              <w:cnfStyle w:val="000000000000" w:firstRow="0" w:lastRow="0" w:firstColumn="0" w:lastColumn="0" w:oddVBand="0" w:evenVBand="0" w:oddHBand="0" w:evenHBand="0" w:firstRowFirstColumn="0" w:firstRowLastColumn="0" w:lastRowFirstColumn="0" w:lastRowLastColumn="0"/>
              <w:rPr>
                <w:b w:val="0"/>
                <w:bCs/>
              </w:rPr>
            </w:pPr>
            <w:r w:rsidRPr="00346F62">
              <w:rPr>
                <w:b w:val="0"/>
                <w:bCs/>
              </w:rPr>
              <w:t>Serving beam RSRP + triggering beam (</w:t>
            </w:r>
            <w:r>
              <w:rPr>
                <w:b w:val="0"/>
                <w:bCs/>
                <w:lang w:val="en-US"/>
              </w:rPr>
              <w:t>identifier</w:t>
            </w:r>
            <w:r w:rsidRPr="00346F62">
              <w:rPr>
                <w:b w:val="0"/>
                <w:bCs/>
              </w:rPr>
              <w:t>, RSRP)</w:t>
            </w:r>
          </w:p>
        </w:tc>
      </w:tr>
      <w:tr w:rsidR="009E4C0D" w:rsidRPr="00B652E0" w14:paraId="69574DB7" w14:textId="77777777">
        <w:trPr>
          <w:jc w:val="center"/>
        </w:trPr>
        <w:tc>
          <w:tcPr>
            <w:cnfStyle w:val="001000000000" w:firstRow="0" w:lastRow="0" w:firstColumn="1" w:lastColumn="0" w:oddVBand="0" w:evenVBand="0" w:oddHBand="0" w:evenHBand="0" w:firstRowFirstColumn="0" w:firstRowLastColumn="0" w:lastRowFirstColumn="0" w:lastRowLastColumn="0"/>
            <w:tcW w:w="1129" w:type="dxa"/>
          </w:tcPr>
          <w:p w14:paraId="1D03DF72" w14:textId="77777777" w:rsidR="009E4C0D" w:rsidRPr="00346F62" w:rsidRDefault="009E4C0D">
            <w:pPr>
              <w:pStyle w:val="TH"/>
              <w:rPr>
                <w:b/>
                <w:bCs w:val="0"/>
              </w:rPr>
            </w:pPr>
            <w:r w:rsidRPr="00346F62">
              <w:rPr>
                <w:b/>
                <w:bCs w:val="0"/>
              </w:rPr>
              <w:t>LTM4</w:t>
            </w:r>
          </w:p>
        </w:tc>
        <w:tc>
          <w:tcPr>
            <w:tcW w:w="6663" w:type="dxa"/>
          </w:tcPr>
          <w:p w14:paraId="389FE66A" w14:textId="77777777" w:rsidR="009E4C0D" w:rsidRPr="00346F62" w:rsidRDefault="009E4C0D">
            <w:pPr>
              <w:pStyle w:val="TH"/>
              <w:cnfStyle w:val="000000000000" w:firstRow="0" w:lastRow="0" w:firstColumn="0" w:lastColumn="0" w:oddVBand="0" w:evenVBand="0" w:oddHBand="0" w:evenHBand="0" w:firstRowFirstColumn="0" w:firstRowLastColumn="0" w:lastRowFirstColumn="0" w:lastRowLastColumn="0"/>
              <w:rPr>
                <w:b w:val="0"/>
                <w:bCs/>
              </w:rPr>
            </w:pPr>
            <w:r>
              <w:rPr>
                <w:b w:val="0"/>
                <w:bCs/>
                <w:lang w:val="en-US"/>
              </w:rPr>
              <w:t>T</w:t>
            </w:r>
            <w:proofErr w:type="spellStart"/>
            <w:r w:rsidRPr="00346F62">
              <w:rPr>
                <w:b w:val="0"/>
                <w:bCs/>
              </w:rPr>
              <w:t>riggering</w:t>
            </w:r>
            <w:proofErr w:type="spellEnd"/>
            <w:r w:rsidRPr="00346F62">
              <w:rPr>
                <w:b w:val="0"/>
                <w:bCs/>
              </w:rPr>
              <w:t xml:space="preserve"> beam (</w:t>
            </w:r>
            <w:r>
              <w:rPr>
                <w:b w:val="0"/>
                <w:bCs/>
                <w:lang w:val="en-US"/>
              </w:rPr>
              <w:t>identifier</w:t>
            </w:r>
            <w:r w:rsidRPr="00346F62">
              <w:rPr>
                <w:b w:val="0"/>
                <w:bCs/>
              </w:rPr>
              <w:t>, RSRP)</w:t>
            </w:r>
          </w:p>
        </w:tc>
      </w:tr>
      <w:tr w:rsidR="009E4C0D" w:rsidRPr="00B652E0" w14:paraId="1EBC5077" w14:textId="77777777">
        <w:trPr>
          <w:jc w:val="center"/>
        </w:trPr>
        <w:tc>
          <w:tcPr>
            <w:cnfStyle w:val="001000000000" w:firstRow="0" w:lastRow="0" w:firstColumn="1" w:lastColumn="0" w:oddVBand="0" w:evenVBand="0" w:oddHBand="0" w:evenHBand="0" w:firstRowFirstColumn="0" w:firstRowLastColumn="0" w:lastRowFirstColumn="0" w:lastRowLastColumn="0"/>
            <w:tcW w:w="1129" w:type="dxa"/>
          </w:tcPr>
          <w:p w14:paraId="554D642F" w14:textId="77777777" w:rsidR="009E4C0D" w:rsidRPr="00346F62" w:rsidRDefault="009E4C0D">
            <w:pPr>
              <w:pStyle w:val="TH"/>
              <w:rPr>
                <w:b/>
                <w:bCs w:val="0"/>
              </w:rPr>
            </w:pPr>
            <w:r w:rsidRPr="00346F62">
              <w:rPr>
                <w:b/>
                <w:bCs w:val="0"/>
              </w:rPr>
              <w:t>LTM5</w:t>
            </w:r>
          </w:p>
        </w:tc>
        <w:tc>
          <w:tcPr>
            <w:tcW w:w="6663" w:type="dxa"/>
          </w:tcPr>
          <w:p w14:paraId="15093ED6" w14:textId="77777777" w:rsidR="009E4C0D" w:rsidRPr="00346F62" w:rsidRDefault="009E4C0D">
            <w:pPr>
              <w:pStyle w:val="TH"/>
              <w:cnfStyle w:val="000000000000" w:firstRow="0" w:lastRow="0" w:firstColumn="0" w:lastColumn="0" w:oddVBand="0" w:evenVBand="0" w:oddHBand="0" w:evenHBand="0" w:firstRowFirstColumn="0" w:firstRowLastColumn="0" w:lastRowFirstColumn="0" w:lastRowLastColumn="0"/>
              <w:rPr>
                <w:b w:val="0"/>
                <w:bCs/>
              </w:rPr>
            </w:pPr>
            <w:r w:rsidRPr="00346F62">
              <w:rPr>
                <w:b w:val="0"/>
                <w:bCs/>
              </w:rPr>
              <w:t>Serving beam RSRP + triggering beam (</w:t>
            </w:r>
            <w:r>
              <w:rPr>
                <w:b w:val="0"/>
                <w:bCs/>
                <w:lang w:val="en-US"/>
              </w:rPr>
              <w:t>identifier</w:t>
            </w:r>
            <w:r w:rsidRPr="00346F62">
              <w:rPr>
                <w:b w:val="0"/>
                <w:bCs/>
              </w:rPr>
              <w:t>, RSRP)</w:t>
            </w:r>
          </w:p>
        </w:tc>
      </w:tr>
    </w:tbl>
    <w:p w14:paraId="3967ABF7" w14:textId="77777777" w:rsidR="009E4C0D" w:rsidRDefault="009E4C0D" w:rsidP="009E4C0D">
      <w:pPr>
        <w:pStyle w:val="TF"/>
        <w:rPr>
          <w:lang w:eastAsia="ja-JP"/>
        </w:rPr>
      </w:pPr>
      <w:bookmarkStart w:id="23" w:name="_Ref173138105"/>
      <w:r>
        <w:t xml:space="preserve">Table </w:t>
      </w:r>
      <w:fldSimple w:instr=" SEQ Table \* ARABIC ">
        <w:r>
          <w:rPr>
            <w:noProof/>
          </w:rPr>
          <w:t>1</w:t>
        </w:r>
      </w:fldSimple>
      <w:bookmarkEnd w:id="23"/>
      <w:r>
        <w:t>: Mandatory content of the event-driven measurement reports</w:t>
      </w:r>
      <w:r>
        <w:rPr>
          <w:lang w:val="en-US"/>
        </w:rPr>
        <w:t xml:space="preserve"> for the agreed events</w:t>
      </w:r>
      <w:r>
        <w:t>.</w:t>
      </w:r>
    </w:p>
    <w:p w14:paraId="593CE830" w14:textId="77777777" w:rsidR="009E4C0D" w:rsidRPr="00104827" w:rsidRDefault="009E4C0D" w:rsidP="009E4C0D">
      <w:pPr>
        <w:pStyle w:val="BodyText"/>
      </w:pPr>
      <w:r>
        <w:t xml:space="preserve">For all the mentioned measurement reports it should also be possible to include measurements on additional candidate beams, like in the Rel-18 measurement report </w:t>
      </w:r>
      <w:r w:rsidRPr="00104827">
        <w:t xml:space="preserve">format. </w:t>
      </w:r>
    </w:p>
    <w:p w14:paraId="10A461E4" w14:textId="77777777" w:rsidR="009E4C0D" w:rsidRDefault="009E4C0D" w:rsidP="00145A2A">
      <w:pPr>
        <w:pStyle w:val="Observation"/>
      </w:pPr>
      <w:bookmarkStart w:id="24" w:name="_Toc173412435"/>
      <w:bookmarkStart w:id="25" w:name="_Toc174083976"/>
      <w:r w:rsidRPr="00104827">
        <w:t xml:space="preserve">For </w:t>
      </w:r>
      <w:r>
        <w:t>a</w:t>
      </w:r>
      <w:r w:rsidRPr="00104827">
        <w:t>ll the</w:t>
      </w:r>
      <w:r>
        <w:t xml:space="preserve"> defined LTM events it should be possible to include measurement on additional candidate beams that did not trigger the event in the measurement report, and the corresponding RSRP values.</w:t>
      </w:r>
      <w:bookmarkEnd w:id="24"/>
      <w:bookmarkEnd w:id="25"/>
    </w:p>
    <w:p w14:paraId="0D4C2340" w14:textId="5AC7CD30" w:rsidR="009E4C0D" w:rsidRDefault="00086D61" w:rsidP="009E4C0D">
      <w:pPr>
        <w:pStyle w:val="BodyText"/>
      </w:pPr>
      <w:r>
        <w:t xml:space="preserve">According to our analysis, we believe that the information included in Table 1 should be </w:t>
      </w:r>
      <w:proofErr w:type="gramStart"/>
      <w:r>
        <w:t>taken into account</w:t>
      </w:r>
      <w:proofErr w:type="gramEnd"/>
      <w:r>
        <w:t xml:space="preserve"> when designing the content of the LTM CSI measurement report.</w:t>
      </w:r>
    </w:p>
    <w:p w14:paraId="1644C4FF" w14:textId="7C595536" w:rsidR="009E4C0D" w:rsidRPr="007157B9" w:rsidRDefault="00086D61" w:rsidP="00682D64">
      <w:pPr>
        <w:pStyle w:val="Proposal"/>
      </w:pPr>
      <w:bookmarkStart w:id="26" w:name="_Toc174083968"/>
      <w:r>
        <w:t xml:space="preserve">RAN2 to </w:t>
      </w:r>
      <w:proofErr w:type="gramStart"/>
      <w:r>
        <w:t>take into account</w:t>
      </w:r>
      <w:proofErr w:type="gramEnd"/>
      <w:r>
        <w:t xml:space="preserve"> the information in Table 1 when designing the content of the LTM CSI measurement report.</w:t>
      </w:r>
      <w:bookmarkEnd w:id="26"/>
    </w:p>
    <w:p w14:paraId="20FDBC9C" w14:textId="7E291B8A" w:rsidR="00C812C6" w:rsidRDefault="00C812C6" w:rsidP="00C812C6">
      <w:pPr>
        <w:pStyle w:val="Heading2"/>
      </w:pPr>
      <w:r>
        <w:t>2.</w:t>
      </w:r>
      <w:r w:rsidR="00046EBB">
        <w:t>5</w:t>
      </w:r>
      <w:r>
        <w:tab/>
        <w:t>Which layer evaluates the L1 events</w:t>
      </w:r>
    </w:p>
    <w:p w14:paraId="413970DB" w14:textId="57972E45" w:rsidR="00C812C6" w:rsidRDefault="00C812C6" w:rsidP="00C812C6">
      <w:pPr>
        <w:pStyle w:val="BodyText"/>
      </w:pPr>
      <w:r>
        <w:t xml:space="preserve">So far there has been a clear separation when it comes to performing measurements (on L1 and L3) and evaluating events (on L3). The L1 measurements are performed and measured on the physical layer while the L3 measurements are the competence of the RRC layer. When it comes to the event triggered L1 measurements, RAN2 would need to </w:t>
      </w:r>
      <w:r w:rsidR="0073505D">
        <w:t>decide</w:t>
      </w:r>
      <w:r>
        <w:t xml:space="preserve"> on which layer the criteria for each configured event are evaluated, and this may be done either on the RRC layer, MAC layer, or physical layer. Either way, this is something that needs to be discussed and decided by RAN2. Thus, we propose:</w:t>
      </w:r>
    </w:p>
    <w:p w14:paraId="53AB66A3" w14:textId="77777777" w:rsidR="00C812C6" w:rsidRDefault="00C812C6" w:rsidP="00C812C6">
      <w:pPr>
        <w:pStyle w:val="Proposal"/>
      </w:pPr>
      <w:bookmarkStart w:id="27" w:name="_Toc163148037"/>
      <w:bookmarkStart w:id="28" w:name="_Toc174083969"/>
      <w:r>
        <w:t>RAN2 shall be the WG to decide which layer shall evaluate the criteria for each L1 event configured.</w:t>
      </w:r>
      <w:bookmarkEnd w:id="27"/>
      <w:bookmarkEnd w:id="28"/>
    </w:p>
    <w:p w14:paraId="5C028008" w14:textId="1367FD0F" w:rsidR="00A9158B" w:rsidRDefault="00A9158B">
      <w:pPr>
        <w:overflowPunct/>
        <w:autoSpaceDE/>
        <w:autoSpaceDN/>
        <w:adjustRightInd/>
        <w:spacing w:after="0"/>
        <w:textAlignment w:val="auto"/>
      </w:pPr>
      <w:r>
        <w:br w:type="page"/>
      </w:r>
    </w:p>
    <w:p w14:paraId="1460E885" w14:textId="1405FFD8" w:rsidR="007F2276" w:rsidRPr="00CE0424" w:rsidRDefault="001568DC" w:rsidP="007F2276">
      <w:pPr>
        <w:pStyle w:val="Heading1"/>
      </w:pPr>
      <w:r>
        <w:lastRenderedPageBreak/>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676D8F1" w14:textId="77777777" w:rsidR="00ED4EF4"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083970" w:history="1">
        <w:r w:rsidR="00ED4EF4" w:rsidRPr="000F2018">
          <w:rPr>
            <w:rStyle w:val="Hyperlink"/>
            <w:noProof/>
          </w:rPr>
          <w:t>Observation 1</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0F2018">
          <w:rPr>
            <w:rStyle w:val="Hyperlink"/>
            <w:noProof/>
          </w:rPr>
          <w:t>Adding the event “Beam of serving cell becomes better than absolute threshold” would enable the network to stop LTM and optionally release all LTM candidate configurations.</w:t>
        </w:r>
      </w:hyperlink>
    </w:p>
    <w:p w14:paraId="086D5D90" w14:textId="77777777" w:rsidR="00ED4EF4" w:rsidRDefault="00A915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83971" w:history="1">
        <w:r w:rsidR="00ED4EF4" w:rsidRPr="000F2018">
          <w:rPr>
            <w:rStyle w:val="Hyperlink"/>
            <w:noProof/>
          </w:rPr>
          <w:t>Observation 2</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0F2018">
          <w:rPr>
            <w:rStyle w:val="Hyperlink"/>
            <w:noProof/>
          </w:rPr>
          <w:t>More use cases can be considered to define necessary events.</w:t>
        </w:r>
      </w:hyperlink>
    </w:p>
    <w:p w14:paraId="66AAFFC7" w14:textId="77777777" w:rsidR="00ED4EF4" w:rsidRDefault="00A915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83972" w:history="1">
        <w:r w:rsidR="00ED4EF4" w:rsidRPr="000F2018">
          <w:rPr>
            <w:rStyle w:val="Hyperlink"/>
            <w:noProof/>
          </w:rPr>
          <w:t>Observation 3</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0F2018">
          <w:rPr>
            <w:rStyle w:val="Hyperlink"/>
            <w:noProof/>
          </w:rPr>
          <w:t>For LTM2 the measurement report should include the RSRP of the serving beam.</w:t>
        </w:r>
      </w:hyperlink>
    </w:p>
    <w:p w14:paraId="49236469" w14:textId="77777777" w:rsidR="00ED4EF4" w:rsidRDefault="00A915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83973" w:history="1">
        <w:r w:rsidR="00ED4EF4" w:rsidRPr="000F2018">
          <w:rPr>
            <w:rStyle w:val="Hyperlink"/>
            <w:noProof/>
          </w:rPr>
          <w:t>Observation 4</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0F2018">
          <w:rPr>
            <w:rStyle w:val="Hyperlink"/>
            <w:noProof/>
          </w:rPr>
          <w:t>For LTM3 the measurement report should include an identifier of the candidate beam that triggered the event, the RSRP of the triggering beam, and the serving beam RSRP.</w:t>
        </w:r>
      </w:hyperlink>
    </w:p>
    <w:p w14:paraId="6DCFF84B" w14:textId="77777777" w:rsidR="00ED4EF4" w:rsidRDefault="00A915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83974" w:history="1">
        <w:r w:rsidR="00ED4EF4" w:rsidRPr="000F2018">
          <w:rPr>
            <w:rStyle w:val="Hyperlink"/>
            <w:noProof/>
          </w:rPr>
          <w:t>Observation 5</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0F2018">
          <w:rPr>
            <w:rStyle w:val="Hyperlink"/>
            <w:noProof/>
          </w:rPr>
          <w:t>For LTM4 the measurement report should include an identifier of the candidate beam that triggered the event, and the corresponding RSRP.</w:t>
        </w:r>
      </w:hyperlink>
    </w:p>
    <w:p w14:paraId="5E754184" w14:textId="77777777" w:rsidR="00ED4EF4" w:rsidRDefault="00A915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83975" w:history="1">
        <w:r w:rsidR="00ED4EF4" w:rsidRPr="000F2018">
          <w:rPr>
            <w:rStyle w:val="Hyperlink"/>
            <w:noProof/>
          </w:rPr>
          <w:t>Observation 6</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0F2018">
          <w:rPr>
            <w:rStyle w:val="Hyperlink"/>
            <w:noProof/>
          </w:rPr>
          <w:t>For LTM5 the measurement report should include the serving beam RSRP, an identifier of the candidate beam that triggered the event, and the corresponding RSRP.</w:t>
        </w:r>
      </w:hyperlink>
    </w:p>
    <w:p w14:paraId="535F50ED" w14:textId="77777777" w:rsidR="00ED4EF4" w:rsidRDefault="00A915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83976" w:history="1">
        <w:r w:rsidR="00ED4EF4" w:rsidRPr="000F2018">
          <w:rPr>
            <w:rStyle w:val="Hyperlink"/>
            <w:noProof/>
          </w:rPr>
          <w:t>Observation 7</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0F2018">
          <w:rPr>
            <w:rStyle w:val="Hyperlink"/>
            <w:noProof/>
          </w:rPr>
          <w:t>For all the defined LTM events it should be possible to include measurement on additional candidate beams that did not trigger the event in the measurement report, and the corresponding RSRP values.</w:t>
        </w:r>
      </w:hyperlink>
    </w:p>
    <w:p w14:paraId="3063B187" w14:textId="0AB06420"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265CA3" w14:textId="77777777" w:rsidR="00ED4EF4"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83960" w:history="1">
        <w:r w:rsidR="00ED4EF4" w:rsidRPr="002D06CD">
          <w:rPr>
            <w:rStyle w:val="Hyperlink"/>
            <w:noProof/>
          </w:rPr>
          <w:t>Proposal 1</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2D06CD">
          <w:rPr>
            <w:rStyle w:val="Hyperlink"/>
            <w:noProof/>
          </w:rPr>
          <w:t>Add the event “Beam of serving cell becomes better than absolute threshold” to the L1 event-triggered reporting.</w:t>
        </w:r>
      </w:hyperlink>
    </w:p>
    <w:p w14:paraId="73BCC077" w14:textId="77777777" w:rsidR="00ED4EF4" w:rsidRDefault="00A915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83961" w:history="1">
        <w:r w:rsidR="00ED4EF4" w:rsidRPr="002D06CD">
          <w:rPr>
            <w:rStyle w:val="Hyperlink"/>
            <w:noProof/>
          </w:rPr>
          <w:t>Proposal 2</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2D06CD">
          <w:rPr>
            <w:rStyle w:val="Hyperlink"/>
            <w:noProof/>
          </w:rPr>
          <w:t>Add use cases “Release LTM Candidate Configuration” and “Early Sync management of LTM candidate cells” to the list of supported use cases for L1 event-triggered reporting.</w:t>
        </w:r>
      </w:hyperlink>
    </w:p>
    <w:p w14:paraId="2B307A9C" w14:textId="77777777" w:rsidR="00ED4EF4" w:rsidRDefault="00A915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83962" w:history="1">
        <w:r w:rsidR="00ED4EF4" w:rsidRPr="002D06CD">
          <w:rPr>
            <w:rStyle w:val="Hyperlink"/>
            <w:noProof/>
            <w:lang w:val="en-US"/>
          </w:rPr>
          <w:t>Proposal 3</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2D06CD">
          <w:rPr>
            <w:rStyle w:val="Hyperlink"/>
            <w:noProof/>
          </w:rPr>
          <w:t>Add the event “</w:t>
        </w:r>
        <w:r w:rsidR="00ED4EF4" w:rsidRPr="002D06CD">
          <w:rPr>
            <w:rStyle w:val="Hyperlink"/>
            <w:noProof/>
            <w:lang w:val="en-US"/>
          </w:rPr>
          <w:t>Beam of candidate cell becomes offset better than pre-activated beam of candidate cell</w:t>
        </w:r>
        <w:r w:rsidR="00ED4EF4" w:rsidRPr="002D06CD">
          <w:rPr>
            <w:rStyle w:val="Hyperlink"/>
            <w:noProof/>
          </w:rPr>
          <w:t>” to the L1 event-triggered reporting.</w:t>
        </w:r>
      </w:hyperlink>
    </w:p>
    <w:p w14:paraId="7DDC835E" w14:textId="77777777" w:rsidR="00ED4EF4" w:rsidRDefault="00A915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83963" w:history="1">
        <w:r w:rsidR="00ED4EF4" w:rsidRPr="002D06CD">
          <w:rPr>
            <w:rStyle w:val="Hyperlink"/>
            <w:noProof/>
            <w:lang w:val="en-US"/>
          </w:rPr>
          <w:t>Proposal 4</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2D06CD">
          <w:rPr>
            <w:rStyle w:val="Hyperlink"/>
            <w:noProof/>
          </w:rPr>
          <w:t>As a secondary priority, add the event “</w:t>
        </w:r>
        <w:r w:rsidR="00ED4EF4" w:rsidRPr="002D06CD">
          <w:rPr>
            <w:rStyle w:val="Hyperlink"/>
            <w:noProof/>
            <w:lang w:val="en-US"/>
          </w:rPr>
          <w:t>Beam of candidate cell becomes worse than absolute threshold</w:t>
        </w:r>
        <w:r w:rsidR="00ED4EF4" w:rsidRPr="002D06CD">
          <w:rPr>
            <w:rStyle w:val="Hyperlink"/>
            <w:noProof/>
          </w:rPr>
          <w:t>”</w:t>
        </w:r>
      </w:hyperlink>
    </w:p>
    <w:p w14:paraId="0FA89F0B" w14:textId="77777777" w:rsidR="00ED4EF4" w:rsidRDefault="00A915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83964" w:history="1">
        <w:r w:rsidR="00ED4EF4" w:rsidRPr="002D06CD">
          <w:rPr>
            <w:rStyle w:val="Hyperlink"/>
            <w:noProof/>
          </w:rPr>
          <w:t>Proposal 5</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2D06CD">
          <w:rPr>
            <w:rStyle w:val="Hyperlink"/>
            <w:noProof/>
          </w:rPr>
          <w:t>The need of events evaluated based on cell-level measurements is discussed within the conditional LTM objective.</w:t>
        </w:r>
      </w:hyperlink>
    </w:p>
    <w:p w14:paraId="52EA2011" w14:textId="77777777" w:rsidR="00ED4EF4" w:rsidRDefault="00A915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83965" w:history="1">
        <w:r w:rsidR="00ED4EF4" w:rsidRPr="002D06CD">
          <w:rPr>
            <w:rStyle w:val="Hyperlink"/>
            <w:noProof/>
          </w:rPr>
          <w:t>Proposal 7</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2D06CD">
          <w:rPr>
            <w:rStyle w:val="Hyperlink"/>
            <w:noProof/>
          </w:rPr>
          <w:t>The UE can be configured to send a L1 measurement report when the leaving condition is met for L1 event, similar to what is available for L3 measurements.</w:t>
        </w:r>
      </w:hyperlink>
    </w:p>
    <w:p w14:paraId="7ADD196B" w14:textId="77777777" w:rsidR="00ED4EF4" w:rsidRDefault="00A915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83966" w:history="1">
        <w:r w:rsidR="00ED4EF4" w:rsidRPr="002D06CD">
          <w:rPr>
            <w:rStyle w:val="Hyperlink"/>
            <w:noProof/>
          </w:rPr>
          <w:t>Proposal 8</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2D06CD">
          <w:rPr>
            <w:rStyle w:val="Hyperlink"/>
            <w:noProof/>
          </w:rPr>
          <w:t>The UE sends periodic L1 measurement reports after event-related measurement report has been sent. A report amount and report interval as specified, similar to what is available for L3 measurements.</w:t>
        </w:r>
      </w:hyperlink>
    </w:p>
    <w:p w14:paraId="0F2517A2" w14:textId="77777777" w:rsidR="00ED4EF4" w:rsidRDefault="00A915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83967" w:history="1">
        <w:r w:rsidR="00ED4EF4" w:rsidRPr="002D06CD">
          <w:rPr>
            <w:rStyle w:val="Hyperlink"/>
            <w:noProof/>
            <w:lang w:eastAsia="ja-JP"/>
          </w:rPr>
          <w:t>Proposal 9</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2D06CD">
          <w:rPr>
            <w:rStyle w:val="Hyperlink"/>
            <w:noProof/>
          </w:rPr>
          <w:t>Event triggered LTM measurement report should include an identifier of the event and conditions that triggered the report.</w:t>
        </w:r>
      </w:hyperlink>
    </w:p>
    <w:p w14:paraId="1D085BC6" w14:textId="77777777" w:rsidR="00ED4EF4" w:rsidRDefault="00A915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83968" w:history="1">
        <w:r w:rsidR="00ED4EF4" w:rsidRPr="002D06CD">
          <w:rPr>
            <w:rStyle w:val="Hyperlink"/>
            <w:noProof/>
          </w:rPr>
          <w:t>Proposal 10</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2D06CD">
          <w:rPr>
            <w:rStyle w:val="Hyperlink"/>
            <w:noProof/>
          </w:rPr>
          <w:t>RAN2 to take into account the information in Table 1 when designing the content of the LTM CSI measurement report.</w:t>
        </w:r>
      </w:hyperlink>
    </w:p>
    <w:p w14:paraId="64B57E10" w14:textId="77777777" w:rsidR="00ED4EF4" w:rsidRDefault="00A9158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83969" w:history="1">
        <w:r w:rsidR="00ED4EF4" w:rsidRPr="002D06CD">
          <w:rPr>
            <w:rStyle w:val="Hyperlink"/>
            <w:noProof/>
          </w:rPr>
          <w:t>Proposal 11</w:t>
        </w:r>
        <w:r w:rsidR="00ED4EF4">
          <w:rPr>
            <w:rFonts w:asciiTheme="minorHAnsi" w:eastAsiaTheme="minorEastAsia" w:hAnsiTheme="minorHAnsi" w:cstheme="minorBidi"/>
            <w:b w:val="0"/>
            <w:noProof/>
            <w:kern w:val="2"/>
            <w:sz w:val="24"/>
            <w:szCs w:val="24"/>
            <w:lang w:val="en-SE" w:eastAsia="en-GB"/>
            <w14:ligatures w14:val="standardContextual"/>
          </w:rPr>
          <w:tab/>
        </w:r>
        <w:r w:rsidR="00ED4EF4" w:rsidRPr="002D06CD">
          <w:rPr>
            <w:rStyle w:val="Hyperlink"/>
            <w:noProof/>
          </w:rPr>
          <w:t>RAN2 shall be the WG to decide which layer shall evaluate the criteria for each L1 event configured.</w:t>
        </w:r>
      </w:hyperlink>
    </w:p>
    <w:p w14:paraId="53922BF6" w14:textId="21B2226D" w:rsidR="00C01F33" w:rsidRPr="007A4171" w:rsidRDefault="006E1C82" w:rsidP="007A4171">
      <w:pPr>
        <w:pStyle w:val="BodyText"/>
        <w:rPr>
          <w:b/>
          <w:bCs/>
        </w:rPr>
      </w:pPr>
      <w:r>
        <w:rPr>
          <w:b/>
          <w:bCs/>
          <w:lang w:val="en-US"/>
        </w:rPr>
        <w:fldChar w:fldCharType="end"/>
      </w:r>
    </w:p>
    <w:p w14:paraId="29AD60D9" w14:textId="15F9AC74" w:rsidR="00F507D1" w:rsidRPr="00CE0424" w:rsidRDefault="001568DC" w:rsidP="00CE0424">
      <w:pPr>
        <w:pStyle w:val="Heading1"/>
      </w:pPr>
      <w:bookmarkStart w:id="29" w:name="_In-sequence_SDU_delivery"/>
      <w:bookmarkEnd w:id="29"/>
      <w:r>
        <w:t>4</w:t>
      </w:r>
      <w:r>
        <w:tab/>
      </w:r>
      <w:r w:rsidR="00F507D1" w:rsidRPr="00CE0424">
        <w:t>References</w:t>
      </w:r>
    </w:p>
    <w:p w14:paraId="4BDFDB80" w14:textId="330C880A" w:rsidR="00633D3A" w:rsidRDefault="00633D3A" w:rsidP="00633D3A">
      <w:pPr>
        <w:pStyle w:val="Reference"/>
        <w:numPr>
          <w:ilvl w:val="0"/>
          <w:numId w:val="38"/>
        </w:numPr>
        <w:overflowPunct/>
        <w:autoSpaceDE/>
        <w:autoSpaceDN/>
        <w:adjustRightInd/>
        <w:spacing w:line="256" w:lineRule="auto"/>
        <w:textAlignment w:val="auto"/>
      </w:pPr>
      <w:bookmarkStart w:id="30" w:name="_Ref174151459"/>
      <w:bookmarkStart w:id="31" w:name="_Ref189809556"/>
      <w:bookmarkStart w:id="32" w:name="_Ref166048995"/>
      <w:r>
        <w:t>RP-240299, Revised Work Item: NR mobility enhancements Phase 4, Apple Inc, China Telecom, 3GPP TSG RAN #103, Maastricht, Netherlands, March 18-21, 2024</w:t>
      </w:r>
      <w:bookmarkEnd w:id="30"/>
      <w:bookmarkEnd w:id="31"/>
      <w:r>
        <w:rPr>
          <w:lang w:val="en-US"/>
        </w:rPr>
        <w:t>.</w:t>
      </w:r>
      <w:bookmarkEnd w:id="32"/>
    </w:p>
    <w:p w14:paraId="6FECCF80" w14:textId="5DE26F20" w:rsidR="003A7EF3" w:rsidRDefault="00D67153" w:rsidP="00CE0424">
      <w:pPr>
        <w:pStyle w:val="Reference"/>
      </w:pPr>
      <w:r>
        <w:lastRenderedPageBreak/>
        <w:t>3GPP TS 38.331 NR RRC, v18.1.0, March 2024.</w:t>
      </w:r>
    </w:p>
    <w:p w14:paraId="76E48748" w14:textId="052C9D9C" w:rsidR="003A7EF3" w:rsidRPr="005C3B25" w:rsidRDefault="003A7EF3" w:rsidP="003A5889">
      <w:pPr>
        <w:pStyle w:val="Reference"/>
        <w:numPr>
          <w:ilvl w:val="0"/>
          <w:numId w:val="0"/>
        </w:numPr>
        <w:ind w:left="567"/>
        <w:rPr>
          <w:lang w:val="en-US"/>
        </w:rPr>
      </w:pPr>
    </w:p>
    <w:sectPr w:rsidR="003A7EF3" w:rsidRPr="005C3B25" w:rsidSect="00EA7542">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017244" w14:textId="77777777" w:rsidR="009320E4" w:rsidRDefault="009320E4">
      <w:r>
        <w:separator/>
      </w:r>
    </w:p>
  </w:endnote>
  <w:endnote w:type="continuationSeparator" w:id="0">
    <w:p w14:paraId="165112C3" w14:textId="77777777" w:rsidR="009320E4" w:rsidRDefault="009320E4">
      <w:r>
        <w:continuationSeparator/>
      </w:r>
    </w:p>
  </w:endnote>
  <w:endnote w:type="continuationNotice" w:id="1">
    <w:p w14:paraId="036ECF05" w14:textId="77777777" w:rsidR="009320E4" w:rsidRDefault="00932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C70949" w14:textId="77777777" w:rsidR="009320E4" w:rsidRDefault="009320E4">
      <w:r>
        <w:separator/>
      </w:r>
    </w:p>
  </w:footnote>
  <w:footnote w:type="continuationSeparator" w:id="0">
    <w:p w14:paraId="3BE2EDE9" w14:textId="77777777" w:rsidR="009320E4" w:rsidRDefault="009320E4">
      <w:r>
        <w:continuationSeparator/>
      </w:r>
    </w:p>
  </w:footnote>
  <w:footnote w:type="continuationNotice" w:id="1">
    <w:p w14:paraId="70585684" w14:textId="77777777" w:rsidR="009320E4" w:rsidRDefault="00932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5EA6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780E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DE14CC"/>
    <w:multiLevelType w:val="hybridMultilevel"/>
    <w:tmpl w:val="29144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3E2FFB"/>
    <w:multiLevelType w:val="hybridMultilevel"/>
    <w:tmpl w:val="E60045D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4A81F87"/>
    <w:multiLevelType w:val="hybridMultilevel"/>
    <w:tmpl w:val="7B643E5C"/>
    <w:lvl w:ilvl="0" w:tplc="C484A3B4">
      <w:start w:val="1"/>
      <w:numFmt w:val="bullet"/>
      <w:lvlText w:val="•"/>
      <w:lvlJc w:val="left"/>
      <w:pPr>
        <w:tabs>
          <w:tab w:val="num" w:pos="720"/>
        </w:tabs>
        <w:ind w:left="720" w:hanging="360"/>
      </w:pPr>
      <w:rPr>
        <w:rFonts w:ascii="Times New Roman" w:hAnsi="Times New Roman" w:hint="default"/>
      </w:rPr>
    </w:lvl>
    <w:lvl w:ilvl="1" w:tplc="B1BE781A" w:tentative="1">
      <w:start w:val="1"/>
      <w:numFmt w:val="bullet"/>
      <w:lvlText w:val="•"/>
      <w:lvlJc w:val="left"/>
      <w:pPr>
        <w:tabs>
          <w:tab w:val="num" w:pos="1440"/>
        </w:tabs>
        <w:ind w:left="1440" w:hanging="360"/>
      </w:pPr>
      <w:rPr>
        <w:rFonts w:ascii="Times New Roman" w:hAnsi="Times New Roman" w:hint="default"/>
      </w:rPr>
    </w:lvl>
    <w:lvl w:ilvl="2" w:tplc="1FDEFF72" w:tentative="1">
      <w:start w:val="1"/>
      <w:numFmt w:val="bullet"/>
      <w:lvlText w:val="•"/>
      <w:lvlJc w:val="left"/>
      <w:pPr>
        <w:tabs>
          <w:tab w:val="num" w:pos="2160"/>
        </w:tabs>
        <w:ind w:left="2160" w:hanging="360"/>
      </w:pPr>
      <w:rPr>
        <w:rFonts w:ascii="Times New Roman" w:hAnsi="Times New Roman" w:hint="default"/>
      </w:rPr>
    </w:lvl>
    <w:lvl w:ilvl="3" w:tplc="54EC4AD0" w:tentative="1">
      <w:start w:val="1"/>
      <w:numFmt w:val="bullet"/>
      <w:lvlText w:val="•"/>
      <w:lvlJc w:val="left"/>
      <w:pPr>
        <w:tabs>
          <w:tab w:val="num" w:pos="2880"/>
        </w:tabs>
        <w:ind w:left="2880" w:hanging="360"/>
      </w:pPr>
      <w:rPr>
        <w:rFonts w:ascii="Times New Roman" w:hAnsi="Times New Roman" w:hint="default"/>
      </w:rPr>
    </w:lvl>
    <w:lvl w:ilvl="4" w:tplc="8FF4F55C" w:tentative="1">
      <w:start w:val="1"/>
      <w:numFmt w:val="bullet"/>
      <w:lvlText w:val="•"/>
      <w:lvlJc w:val="left"/>
      <w:pPr>
        <w:tabs>
          <w:tab w:val="num" w:pos="3600"/>
        </w:tabs>
        <w:ind w:left="3600" w:hanging="360"/>
      </w:pPr>
      <w:rPr>
        <w:rFonts w:ascii="Times New Roman" w:hAnsi="Times New Roman" w:hint="default"/>
      </w:rPr>
    </w:lvl>
    <w:lvl w:ilvl="5" w:tplc="779E4D90" w:tentative="1">
      <w:start w:val="1"/>
      <w:numFmt w:val="bullet"/>
      <w:lvlText w:val="•"/>
      <w:lvlJc w:val="left"/>
      <w:pPr>
        <w:tabs>
          <w:tab w:val="num" w:pos="4320"/>
        </w:tabs>
        <w:ind w:left="4320" w:hanging="360"/>
      </w:pPr>
      <w:rPr>
        <w:rFonts w:ascii="Times New Roman" w:hAnsi="Times New Roman" w:hint="default"/>
      </w:rPr>
    </w:lvl>
    <w:lvl w:ilvl="6" w:tplc="0520E50C" w:tentative="1">
      <w:start w:val="1"/>
      <w:numFmt w:val="bullet"/>
      <w:lvlText w:val="•"/>
      <w:lvlJc w:val="left"/>
      <w:pPr>
        <w:tabs>
          <w:tab w:val="num" w:pos="5040"/>
        </w:tabs>
        <w:ind w:left="5040" w:hanging="360"/>
      </w:pPr>
      <w:rPr>
        <w:rFonts w:ascii="Times New Roman" w:hAnsi="Times New Roman" w:hint="default"/>
      </w:rPr>
    </w:lvl>
    <w:lvl w:ilvl="7" w:tplc="7E9213EE" w:tentative="1">
      <w:start w:val="1"/>
      <w:numFmt w:val="bullet"/>
      <w:lvlText w:val="•"/>
      <w:lvlJc w:val="left"/>
      <w:pPr>
        <w:tabs>
          <w:tab w:val="num" w:pos="5760"/>
        </w:tabs>
        <w:ind w:left="5760" w:hanging="360"/>
      </w:pPr>
      <w:rPr>
        <w:rFonts w:ascii="Times New Roman" w:hAnsi="Times New Roman" w:hint="default"/>
      </w:rPr>
    </w:lvl>
    <w:lvl w:ilvl="8" w:tplc="F792623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E252725"/>
    <w:multiLevelType w:val="hybridMultilevel"/>
    <w:tmpl w:val="055AB844"/>
    <w:lvl w:ilvl="0" w:tplc="7C36A25C">
      <w:start w:val="1"/>
      <w:numFmt w:val="bullet"/>
      <w:lvlText w:val="•"/>
      <w:lvlJc w:val="left"/>
      <w:pPr>
        <w:tabs>
          <w:tab w:val="num" w:pos="720"/>
        </w:tabs>
        <w:ind w:left="720" w:hanging="360"/>
      </w:pPr>
      <w:rPr>
        <w:rFonts w:ascii="Times New Roman" w:hAnsi="Times New Roman" w:hint="default"/>
      </w:rPr>
    </w:lvl>
    <w:lvl w:ilvl="1" w:tplc="1C4CF9F8" w:tentative="1">
      <w:start w:val="1"/>
      <w:numFmt w:val="bullet"/>
      <w:lvlText w:val="•"/>
      <w:lvlJc w:val="left"/>
      <w:pPr>
        <w:tabs>
          <w:tab w:val="num" w:pos="1440"/>
        </w:tabs>
        <w:ind w:left="1440" w:hanging="360"/>
      </w:pPr>
      <w:rPr>
        <w:rFonts w:ascii="Times New Roman" w:hAnsi="Times New Roman" w:hint="default"/>
      </w:rPr>
    </w:lvl>
    <w:lvl w:ilvl="2" w:tplc="3D2AE14E" w:tentative="1">
      <w:start w:val="1"/>
      <w:numFmt w:val="bullet"/>
      <w:lvlText w:val="•"/>
      <w:lvlJc w:val="left"/>
      <w:pPr>
        <w:tabs>
          <w:tab w:val="num" w:pos="2160"/>
        </w:tabs>
        <w:ind w:left="2160" w:hanging="360"/>
      </w:pPr>
      <w:rPr>
        <w:rFonts w:ascii="Times New Roman" w:hAnsi="Times New Roman" w:hint="default"/>
      </w:rPr>
    </w:lvl>
    <w:lvl w:ilvl="3" w:tplc="1CC28494" w:tentative="1">
      <w:start w:val="1"/>
      <w:numFmt w:val="bullet"/>
      <w:lvlText w:val="•"/>
      <w:lvlJc w:val="left"/>
      <w:pPr>
        <w:tabs>
          <w:tab w:val="num" w:pos="2880"/>
        </w:tabs>
        <w:ind w:left="2880" w:hanging="360"/>
      </w:pPr>
      <w:rPr>
        <w:rFonts w:ascii="Times New Roman" w:hAnsi="Times New Roman" w:hint="default"/>
      </w:rPr>
    </w:lvl>
    <w:lvl w:ilvl="4" w:tplc="AFD4CB28" w:tentative="1">
      <w:start w:val="1"/>
      <w:numFmt w:val="bullet"/>
      <w:lvlText w:val="•"/>
      <w:lvlJc w:val="left"/>
      <w:pPr>
        <w:tabs>
          <w:tab w:val="num" w:pos="3600"/>
        </w:tabs>
        <w:ind w:left="3600" w:hanging="360"/>
      </w:pPr>
      <w:rPr>
        <w:rFonts w:ascii="Times New Roman" w:hAnsi="Times New Roman" w:hint="default"/>
      </w:rPr>
    </w:lvl>
    <w:lvl w:ilvl="5" w:tplc="3768F7BA" w:tentative="1">
      <w:start w:val="1"/>
      <w:numFmt w:val="bullet"/>
      <w:lvlText w:val="•"/>
      <w:lvlJc w:val="left"/>
      <w:pPr>
        <w:tabs>
          <w:tab w:val="num" w:pos="4320"/>
        </w:tabs>
        <w:ind w:left="4320" w:hanging="360"/>
      </w:pPr>
      <w:rPr>
        <w:rFonts w:ascii="Times New Roman" w:hAnsi="Times New Roman" w:hint="default"/>
      </w:rPr>
    </w:lvl>
    <w:lvl w:ilvl="6" w:tplc="60DEA358" w:tentative="1">
      <w:start w:val="1"/>
      <w:numFmt w:val="bullet"/>
      <w:lvlText w:val="•"/>
      <w:lvlJc w:val="left"/>
      <w:pPr>
        <w:tabs>
          <w:tab w:val="num" w:pos="5040"/>
        </w:tabs>
        <w:ind w:left="5040" w:hanging="360"/>
      </w:pPr>
      <w:rPr>
        <w:rFonts w:ascii="Times New Roman" w:hAnsi="Times New Roman" w:hint="default"/>
      </w:rPr>
    </w:lvl>
    <w:lvl w:ilvl="7" w:tplc="092E84D0" w:tentative="1">
      <w:start w:val="1"/>
      <w:numFmt w:val="bullet"/>
      <w:lvlText w:val="•"/>
      <w:lvlJc w:val="left"/>
      <w:pPr>
        <w:tabs>
          <w:tab w:val="num" w:pos="5760"/>
        </w:tabs>
        <w:ind w:left="5760" w:hanging="360"/>
      </w:pPr>
      <w:rPr>
        <w:rFonts w:ascii="Times New Roman" w:hAnsi="Times New Roman" w:hint="default"/>
      </w:rPr>
    </w:lvl>
    <w:lvl w:ilvl="8" w:tplc="BBDEB67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F1F2622"/>
    <w:multiLevelType w:val="hybridMultilevel"/>
    <w:tmpl w:val="2380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E50EA7"/>
    <w:multiLevelType w:val="hybridMultilevel"/>
    <w:tmpl w:val="9DE4C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D807CB"/>
    <w:multiLevelType w:val="hybridMultilevel"/>
    <w:tmpl w:val="9FC036B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E011FC9"/>
    <w:multiLevelType w:val="hybridMultilevel"/>
    <w:tmpl w:val="7FF69FC0"/>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17">
      <w:start w:val="1"/>
      <w:numFmt w:val="lowerLetter"/>
      <w:lvlText w:val="%3)"/>
      <w:lvlJc w:val="left"/>
      <w:pPr>
        <w:ind w:left="2340" w:hanging="36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A13A2F"/>
    <w:multiLevelType w:val="hybridMultilevel"/>
    <w:tmpl w:val="9EC09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A44F9F"/>
    <w:multiLevelType w:val="hybridMultilevel"/>
    <w:tmpl w:val="A42CCE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628EE28"/>
    <w:lvl w:ilvl="0" w:tplc="2146C37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E7633"/>
    <w:multiLevelType w:val="hybridMultilevel"/>
    <w:tmpl w:val="AF889702"/>
    <w:lvl w:ilvl="0" w:tplc="BD6C4EBC">
      <w:start w:val="1"/>
      <w:numFmt w:val="bullet"/>
      <w:lvlText w:val="•"/>
      <w:lvlJc w:val="left"/>
      <w:pPr>
        <w:tabs>
          <w:tab w:val="num" w:pos="720"/>
        </w:tabs>
        <w:ind w:left="720" w:hanging="360"/>
      </w:pPr>
      <w:rPr>
        <w:rFonts w:ascii="Times New Roman" w:hAnsi="Times New Roman" w:hint="default"/>
      </w:rPr>
    </w:lvl>
    <w:lvl w:ilvl="1" w:tplc="DF8ED544" w:tentative="1">
      <w:start w:val="1"/>
      <w:numFmt w:val="bullet"/>
      <w:lvlText w:val="•"/>
      <w:lvlJc w:val="left"/>
      <w:pPr>
        <w:tabs>
          <w:tab w:val="num" w:pos="1440"/>
        </w:tabs>
        <w:ind w:left="1440" w:hanging="360"/>
      </w:pPr>
      <w:rPr>
        <w:rFonts w:ascii="Times New Roman" w:hAnsi="Times New Roman" w:hint="default"/>
      </w:rPr>
    </w:lvl>
    <w:lvl w:ilvl="2" w:tplc="32F2F6AE" w:tentative="1">
      <w:start w:val="1"/>
      <w:numFmt w:val="bullet"/>
      <w:lvlText w:val="•"/>
      <w:lvlJc w:val="left"/>
      <w:pPr>
        <w:tabs>
          <w:tab w:val="num" w:pos="2160"/>
        </w:tabs>
        <w:ind w:left="2160" w:hanging="360"/>
      </w:pPr>
      <w:rPr>
        <w:rFonts w:ascii="Times New Roman" w:hAnsi="Times New Roman" w:hint="default"/>
      </w:rPr>
    </w:lvl>
    <w:lvl w:ilvl="3" w:tplc="16D0AA50" w:tentative="1">
      <w:start w:val="1"/>
      <w:numFmt w:val="bullet"/>
      <w:lvlText w:val="•"/>
      <w:lvlJc w:val="left"/>
      <w:pPr>
        <w:tabs>
          <w:tab w:val="num" w:pos="2880"/>
        </w:tabs>
        <w:ind w:left="2880" w:hanging="360"/>
      </w:pPr>
      <w:rPr>
        <w:rFonts w:ascii="Times New Roman" w:hAnsi="Times New Roman" w:hint="default"/>
      </w:rPr>
    </w:lvl>
    <w:lvl w:ilvl="4" w:tplc="5742F036" w:tentative="1">
      <w:start w:val="1"/>
      <w:numFmt w:val="bullet"/>
      <w:lvlText w:val="•"/>
      <w:lvlJc w:val="left"/>
      <w:pPr>
        <w:tabs>
          <w:tab w:val="num" w:pos="3600"/>
        </w:tabs>
        <w:ind w:left="3600" w:hanging="360"/>
      </w:pPr>
      <w:rPr>
        <w:rFonts w:ascii="Times New Roman" w:hAnsi="Times New Roman" w:hint="default"/>
      </w:rPr>
    </w:lvl>
    <w:lvl w:ilvl="5" w:tplc="F56AA86C" w:tentative="1">
      <w:start w:val="1"/>
      <w:numFmt w:val="bullet"/>
      <w:lvlText w:val="•"/>
      <w:lvlJc w:val="left"/>
      <w:pPr>
        <w:tabs>
          <w:tab w:val="num" w:pos="4320"/>
        </w:tabs>
        <w:ind w:left="4320" w:hanging="360"/>
      </w:pPr>
      <w:rPr>
        <w:rFonts w:ascii="Times New Roman" w:hAnsi="Times New Roman" w:hint="default"/>
      </w:rPr>
    </w:lvl>
    <w:lvl w:ilvl="6" w:tplc="BDF4D7B4" w:tentative="1">
      <w:start w:val="1"/>
      <w:numFmt w:val="bullet"/>
      <w:lvlText w:val="•"/>
      <w:lvlJc w:val="left"/>
      <w:pPr>
        <w:tabs>
          <w:tab w:val="num" w:pos="5040"/>
        </w:tabs>
        <w:ind w:left="5040" w:hanging="360"/>
      </w:pPr>
      <w:rPr>
        <w:rFonts w:ascii="Times New Roman" w:hAnsi="Times New Roman" w:hint="default"/>
      </w:rPr>
    </w:lvl>
    <w:lvl w:ilvl="7" w:tplc="958EE9D4" w:tentative="1">
      <w:start w:val="1"/>
      <w:numFmt w:val="bullet"/>
      <w:lvlText w:val="•"/>
      <w:lvlJc w:val="left"/>
      <w:pPr>
        <w:tabs>
          <w:tab w:val="num" w:pos="5760"/>
        </w:tabs>
        <w:ind w:left="5760" w:hanging="360"/>
      </w:pPr>
      <w:rPr>
        <w:rFonts w:ascii="Times New Roman" w:hAnsi="Times New Roman" w:hint="default"/>
      </w:rPr>
    </w:lvl>
    <w:lvl w:ilvl="8" w:tplc="17C67A4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3FFB463B"/>
    <w:multiLevelType w:val="hybridMultilevel"/>
    <w:tmpl w:val="2A7C4016"/>
    <w:lvl w:ilvl="0" w:tplc="0E94C64E">
      <w:start w:val="1"/>
      <w:numFmt w:val="decimal"/>
      <w:lvlText w:val="%1)"/>
      <w:lvlJc w:val="left"/>
      <w:pPr>
        <w:ind w:left="2061" w:hanging="360"/>
      </w:pPr>
      <w:rPr>
        <w:rFonts w:ascii="Helvetica Neue" w:eastAsia="MS Mincho" w:hAnsi="Helvetica Neue" w:cs="Helvetica Neue" w:hint="default"/>
        <w:color w:val="000000"/>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27" w15:restartNumberingAfterBreak="0">
    <w:nsid w:val="40AA7318"/>
    <w:multiLevelType w:val="hybridMultilevel"/>
    <w:tmpl w:val="70F02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E5D12"/>
    <w:multiLevelType w:val="hybridMultilevel"/>
    <w:tmpl w:val="AC4A187A"/>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0" w15:restartNumberingAfterBreak="0">
    <w:nsid w:val="48FE01FB"/>
    <w:multiLevelType w:val="hybridMultilevel"/>
    <w:tmpl w:val="D2349C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AA6532"/>
    <w:multiLevelType w:val="hybridMultilevel"/>
    <w:tmpl w:val="3DF0A792"/>
    <w:lvl w:ilvl="0" w:tplc="14648A2A">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C42F0C"/>
    <w:multiLevelType w:val="hybridMultilevel"/>
    <w:tmpl w:val="1B563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C5D7B78"/>
    <w:multiLevelType w:val="hybridMultilevel"/>
    <w:tmpl w:val="55983470"/>
    <w:lvl w:ilvl="0" w:tplc="BBC64556">
      <w:numFmt w:val="bullet"/>
      <w:lvlText w:val=""/>
      <w:lvlJc w:val="left"/>
      <w:pPr>
        <w:ind w:left="924" w:hanging="564"/>
      </w:pPr>
      <w:rPr>
        <w:rFonts w:ascii="Symbol" w:eastAsia="Times New Roma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710CED"/>
    <w:multiLevelType w:val="hybridMultilevel"/>
    <w:tmpl w:val="3920CB5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num w:numId="1" w16cid:durableId="1253582480">
    <w:abstractNumId w:val="3"/>
  </w:num>
  <w:num w:numId="2" w16cid:durableId="1639341018">
    <w:abstractNumId w:val="31"/>
  </w:num>
  <w:num w:numId="3" w16cid:durableId="149030463">
    <w:abstractNumId w:val="22"/>
  </w:num>
  <w:num w:numId="4" w16cid:durableId="1793861358">
    <w:abstractNumId w:val="23"/>
  </w:num>
  <w:num w:numId="5" w16cid:durableId="1243223580">
    <w:abstractNumId w:val="17"/>
  </w:num>
  <w:num w:numId="6" w16cid:durableId="228659845">
    <w:abstractNumId w:val="28"/>
  </w:num>
  <w:num w:numId="7" w16cid:durableId="758915933">
    <w:abstractNumId w:val="36"/>
  </w:num>
  <w:num w:numId="8" w16cid:durableId="779645832">
    <w:abstractNumId w:val="19"/>
  </w:num>
  <w:num w:numId="9" w16cid:durableId="237790278">
    <w:abstractNumId w:val="14"/>
  </w:num>
  <w:num w:numId="10" w16cid:durableId="1774858864">
    <w:abstractNumId w:val="2"/>
  </w:num>
  <w:num w:numId="11" w16cid:durableId="98722567">
    <w:abstractNumId w:val="1"/>
  </w:num>
  <w:num w:numId="12" w16cid:durableId="818768327">
    <w:abstractNumId w:val="0"/>
  </w:num>
  <w:num w:numId="13" w16cid:durableId="1463575834">
    <w:abstractNumId w:val="32"/>
  </w:num>
  <w:num w:numId="14" w16cid:durableId="1237780611">
    <w:abstractNumId w:val="34"/>
  </w:num>
  <w:num w:numId="15" w16cid:durableId="1303653466">
    <w:abstractNumId w:val="25"/>
  </w:num>
  <w:num w:numId="16" w16cid:durableId="1461000268">
    <w:abstractNumId w:val="38"/>
  </w:num>
  <w:num w:numId="17" w16cid:durableId="2068138227">
    <w:abstractNumId w:val="11"/>
  </w:num>
  <w:num w:numId="18" w16cid:durableId="458114767">
    <w:abstractNumId w:val="13"/>
  </w:num>
  <w:num w:numId="19" w16cid:durableId="995108944">
    <w:abstractNumId w:val="6"/>
  </w:num>
  <w:num w:numId="20" w16cid:durableId="822239829">
    <w:abstractNumId w:val="41"/>
  </w:num>
  <w:num w:numId="21" w16cid:durableId="976183084">
    <w:abstractNumId w:val="20"/>
  </w:num>
  <w:num w:numId="22" w16cid:durableId="1374117700">
    <w:abstractNumId w:val="40"/>
  </w:num>
  <w:num w:numId="23" w16cid:durableId="1501389172">
    <w:abstractNumId w:val="4"/>
  </w:num>
  <w:num w:numId="24" w16cid:durableId="603417698">
    <w:abstractNumId w:val="15"/>
  </w:num>
  <w:num w:numId="25" w16cid:durableId="1152019912">
    <w:abstractNumId w:val="37"/>
  </w:num>
  <w:num w:numId="26" w16cid:durableId="700399473">
    <w:abstractNumId w:val="10"/>
  </w:num>
  <w:num w:numId="27" w16cid:durableId="1135223760">
    <w:abstractNumId w:val="12"/>
  </w:num>
  <w:num w:numId="28" w16cid:durableId="1928031657">
    <w:abstractNumId w:val="18"/>
  </w:num>
  <w:num w:numId="29" w16cid:durableId="1521822094">
    <w:abstractNumId w:val="42"/>
  </w:num>
  <w:num w:numId="30" w16cid:durableId="1993024795">
    <w:abstractNumId w:val="30"/>
  </w:num>
  <w:num w:numId="31" w16cid:durableId="261955574">
    <w:abstractNumId w:val="39"/>
  </w:num>
  <w:num w:numId="32" w16cid:durableId="580482030">
    <w:abstractNumId w:val="29"/>
  </w:num>
  <w:num w:numId="33" w16cid:durableId="608662747">
    <w:abstractNumId w:val="21"/>
  </w:num>
  <w:num w:numId="34" w16cid:durableId="1667707625">
    <w:abstractNumId w:val="35"/>
  </w:num>
  <w:num w:numId="35" w16cid:durableId="1774549630">
    <w:abstractNumId w:val="7"/>
  </w:num>
  <w:num w:numId="36" w16cid:durableId="11780390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137914">
    <w:abstractNumId w:val="16"/>
  </w:num>
  <w:num w:numId="38" w16cid:durableId="122965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4408641">
    <w:abstractNumId w:val="33"/>
  </w:num>
  <w:num w:numId="40" w16cid:durableId="10007352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0239261">
    <w:abstractNumId w:val="26"/>
  </w:num>
  <w:num w:numId="42" w16cid:durableId="51586934">
    <w:abstractNumId w:val="9"/>
  </w:num>
  <w:num w:numId="43" w16cid:durableId="1175847380">
    <w:abstractNumId w:val="27"/>
  </w:num>
  <w:num w:numId="44" w16cid:durableId="23334882">
    <w:abstractNumId w:val="5"/>
  </w:num>
  <w:num w:numId="45" w16cid:durableId="1560557164">
    <w:abstractNumId w:val="24"/>
  </w:num>
  <w:num w:numId="46" w16cid:durableId="33869758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57"/>
    <w:rsid w:val="0000108B"/>
    <w:rsid w:val="00002128"/>
    <w:rsid w:val="00002A37"/>
    <w:rsid w:val="00002FFD"/>
    <w:rsid w:val="000036B4"/>
    <w:rsid w:val="0000564C"/>
    <w:rsid w:val="00006446"/>
    <w:rsid w:val="0000668F"/>
    <w:rsid w:val="00006896"/>
    <w:rsid w:val="00006B79"/>
    <w:rsid w:val="00007CDC"/>
    <w:rsid w:val="00011B28"/>
    <w:rsid w:val="000156EF"/>
    <w:rsid w:val="00015D15"/>
    <w:rsid w:val="0001616E"/>
    <w:rsid w:val="00021D00"/>
    <w:rsid w:val="0002394C"/>
    <w:rsid w:val="0002564D"/>
    <w:rsid w:val="00025ECA"/>
    <w:rsid w:val="00027C30"/>
    <w:rsid w:val="0003042E"/>
    <w:rsid w:val="00030863"/>
    <w:rsid w:val="00030BAA"/>
    <w:rsid w:val="00031F01"/>
    <w:rsid w:val="000325B8"/>
    <w:rsid w:val="00034C15"/>
    <w:rsid w:val="000367C7"/>
    <w:rsid w:val="00036BA1"/>
    <w:rsid w:val="00037861"/>
    <w:rsid w:val="00037CFC"/>
    <w:rsid w:val="000422E2"/>
    <w:rsid w:val="00042F22"/>
    <w:rsid w:val="00043FB9"/>
    <w:rsid w:val="000444EF"/>
    <w:rsid w:val="0004653B"/>
    <w:rsid w:val="00046EBB"/>
    <w:rsid w:val="00047081"/>
    <w:rsid w:val="00047764"/>
    <w:rsid w:val="0005072D"/>
    <w:rsid w:val="00052339"/>
    <w:rsid w:val="00052A07"/>
    <w:rsid w:val="000534E3"/>
    <w:rsid w:val="00053782"/>
    <w:rsid w:val="000547A6"/>
    <w:rsid w:val="0005606A"/>
    <w:rsid w:val="00057117"/>
    <w:rsid w:val="000576D8"/>
    <w:rsid w:val="00057FF6"/>
    <w:rsid w:val="000616E7"/>
    <w:rsid w:val="000625FB"/>
    <w:rsid w:val="00062CA0"/>
    <w:rsid w:val="0006470D"/>
    <w:rsid w:val="00064817"/>
    <w:rsid w:val="0006487E"/>
    <w:rsid w:val="00065E1A"/>
    <w:rsid w:val="0007082A"/>
    <w:rsid w:val="000721AC"/>
    <w:rsid w:val="00077E5F"/>
    <w:rsid w:val="00077F45"/>
    <w:rsid w:val="0008036A"/>
    <w:rsid w:val="00081287"/>
    <w:rsid w:val="00081AE6"/>
    <w:rsid w:val="0008280F"/>
    <w:rsid w:val="000844EE"/>
    <w:rsid w:val="000855EB"/>
    <w:rsid w:val="00085B52"/>
    <w:rsid w:val="000866F2"/>
    <w:rsid w:val="00086D61"/>
    <w:rsid w:val="00087C41"/>
    <w:rsid w:val="0009009F"/>
    <w:rsid w:val="00091557"/>
    <w:rsid w:val="000924C1"/>
    <w:rsid w:val="000924F0"/>
    <w:rsid w:val="00092F13"/>
    <w:rsid w:val="00093474"/>
    <w:rsid w:val="00093634"/>
    <w:rsid w:val="0009428E"/>
    <w:rsid w:val="00094416"/>
    <w:rsid w:val="0009510F"/>
    <w:rsid w:val="00095ED3"/>
    <w:rsid w:val="00097343"/>
    <w:rsid w:val="000A1B7B"/>
    <w:rsid w:val="000A29D6"/>
    <w:rsid w:val="000A56F2"/>
    <w:rsid w:val="000A5FDB"/>
    <w:rsid w:val="000B1703"/>
    <w:rsid w:val="000B2719"/>
    <w:rsid w:val="000B3A8F"/>
    <w:rsid w:val="000B4762"/>
    <w:rsid w:val="000B4AB9"/>
    <w:rsid w:val="000B531E"/>
    <w:rsid w:val="000B58C3"/>
    <w:rsid w:val="000B61E9"/>
    <w:rsid w:val="000B67C8"/>
    <w:rsid w:val="000B7312"/>
    <w:rsid w:val="000C09F0"/>
    <w:rsid w:val="000C124D"/>
    <w:rsid w:val="000C165A"/>
    <w:rsid w:val="000C2E19"/>
    <w:rsid w:val="000C71B0"/>
    <w:rsid w:val="000C739F"/>
    <w:rsid w:val="000D0681"/>
    <w:rsid w:val="000D0D07"/>
    <w:rsid w:val="000D4797"/>
    <w:rsid w:val="000D78B6"/>
    <w:rsid w:val="000E0527"/>
    <w:rsid w:val="000E159F"/>
    <w:rsid w:val="000E1E92"/>
    <w:rsid w:val="000E3C06"/>
    <w:rsid w:val="000E6BEB"/>
    <w:rsid w:val="000F06D6"/>
    <w:rsid w:val="000F0EB1"/>
    <w:rsid w:val="000F1106"/>
    <w:rsid w:val="000F1252"/>
    <w:rsid w:val="000F19ED"/>
    <w:rsid w:val="000F1E0D"/>
    <w:rsid w:val="000F253A"/>
    <w:rsid w:val="000F2BD1"/>
    <w:rsid w:val="000F2F5C"/>
    <w:rsid w:val="000F3BE9"/>
    <w:rsid w:val="000F3F6C"/>
    <w:rsid w:val="000F6707"/>
    <w:rsid w:val="000F6DF3"/>
    <w:rsid w:val="000F7522"/>
    <w:rsid w:val="001005FF"/>
    <w:rsid w:val="001062FB"/>
    <w:rsid w:val="001063E6"/>
    <w:rsid w:val="001102DE"/>
    <w:rsid w:val="00110BF5"/>
    <w:rsid w:val="0011148A"/>
    <w:rsid w:val="001124B5"/>
    <w:rsid w:val="00112738"/>
    <w:rsid w:val="00113CF4"/>
    <w:rsid w:val="001153EA"/>
    <w:rsid w:val="001153FA"/>
    <w:rsid w:val="00115643"/>
    <w:rsid w:val="00116765"/>
    <w:rsid w:val="00120B7F"/>
    <w:rsid w:val="001219F5"/>
    <w:rsid w:val="00121A20"/>
    <w:rsid w:val="0012377F"/>
    <w:rsid w:val="001239A9"/>
    <w:rsid w:val="00123EAC"/>
    <w:rsid w:val="00124034"/>
    <w:rsid w:val="00124314"/>
    <w:rsid w:val="0012517B"/>
    <w:rsid w:val="00125511"/>
    <w:rsid w:val="00126706"/>
    <w:rsid w:val="00126B4A"/>
    <w:rsid w:val="00132FD0"/>
    <w:rsid w:val="00134000"/>
    <w:rsid w:val="001344C0"/>
    <w:rsid w:val="001346FA"/>
    <w:rsid w:val="00135252"/>
    <w:rsid w:val="001355CF"/>
    <w:rsid w:val="0013773B"/>
    <w:rsid w:val="00137AB5"/>
    <w:rsid w:val="00137F0B"/>
    <w:rsid w:val="00140629"/>
    <w:rsid w:val="001424E7"/>
    <w:rsid w:val="00143B99"/>
    <w:rsid w:val="00145A2A"/>
    <w:rsid w:val="00146D0C"/>
    <w:rsid w:val="00151873"/>
    <w:rsid w:val="00151E23"/>
    <w:rsid w:val="001526E0"/>
    <w:rsid w:val="00153398"/>
    <w:rsid w:val="001551B5"/>
    <w:rsid w:val="001568DC"/>
    <w:rsid w:val="0016081E"/>
    <w:rsid w:val="0016093F"/>
    <w:rsid w:val="00161947"/>
    <w:rsid w:val="00164A0F"/>
    <w:rsid w:val="00165741"/>
    <w:rsid w:val="001659B7"/>
    <w:rsid w:val="001659C1"/>
    <w:rsid w:val="0016754F"/>
    <w:rsid w:val="00167B8B"/>
    <w:rsid w:val="00171AED"/>
    <w:rsid w:val="00171F0C"/>
    <w:rsid w:val="00173A8E"/>
    <w:rsid w:val="0017502C"/>
    <w:rsid w:val="001754D9"/>
    <w:rsid w:val="0018039A"/>
    <w:rsid w:val="0018143F"/>
    <w:rsid w:val="00181FF8"/>
    <w:rsid w:val="00183269"/>
    <w:rsid w:val="00183D93"/>
    <w:rsid w:val="00184398"/>
    <w:rsid w:val="00184F56"/>
    <w:rsid w:val="00185804"/>
    <w:rsid w:val="00186845"/>
    <w:rsid w:val="00186C2E"/>
    <w:rsid w:val="001879CA"/>
    <w:rsid w:val="00190AC1"/>
    <w:rsid w:val="00190EF7"/>
    <w:rsid w:val="0019341A"/>
    <w:rsid w:val="00193D11"/>
    <w:rsid w:val="00195498"/>
    <w:rsid w:val="0019586A"/>
    <w:rsid w:val="00197377"/>
    <w:rsid w:val="00197DF9"/>
    <w:rsid w:val="00197EB2"/>
    <w:rsid w:val="001A1282"/>
    <w:rsid w:val="001A1987"/>
    <w:rsid w:val="001A1A0E"/>
    <w:rsid w:val="001A1B60"/>
    <w:rsid w:val="001A1E94"/>
    <w:rsid w:val="001A2564"/>
    <w:rsid w:val="001A6173"/>
    <w:rsid w:val="001A6CBA"/>
    <w:rsid w:val="001A6E37"/>
    <w:rsid w:val="001B0D97"/>
    <w:rsid w:val="001B1717"/>
    <w:rsid w:val="001B299F"/>
    <w:rsid w:val="001B2BEF"/>
    <w:rsid w:val="001B3306"/>
    <w:rsid w:val="001B346C"/>
    <w:rsid w:val="001B5366"/>
    <w:rsid w:val="001B53AE"/>
    <w:rsid w:val="001B5A5D"/>
    <w:rsid w:val="001B6F32"/>
    <w:rsid w:val="001B70F5"/>
    <w:rsid w:val="001C0242"/>
    <w:rsid w:val="001C1875"/>
    <w:rsid w:val="001C1CE5"/>
    <w:rsid w:val="001C3D2A"/>
    <w:rsid w:val="001C5818"/>
    <w:rsid w:val="001D1909"/>
    <w:rsid w:val="001D249D"/>
    <w:rsid w:val="001D2699"/>
    <w:rsid w:val="001D51BA"/>
    <w:rsid w:val="001D53E7"/>
    <w:rsid w:val="001D59EB"/>
    <w:rsid w:val="001D6342"/>
    <w:rsid w:val="001D6D53"/>
    <w:rsid w:val="001D794B"/>
    <w:rsid w:val="001E58E2"/>
    <w:rsid w:val="001E611A"/>
    <w:rsid w:val="001E61B2"/>
    <w:rsid w:val="001E64A7"/>
    <w:rsid w:val="001E79A7"/>
    <w:rsid w:val="001E7AED"/>
    <w:rsid w:val="001E7CAA"/>
    <w:rsid w:val="001F03FF"/>
    <w:rsid w:val="001F1E3E"/>
    <w:rsid w:val="001F372D"/>
    <w:rsid w:val="001F385A"/>
    <w:rsid w:val="001F3916"/>
    <w:rsid w:val="001F49CD"/>
    <w:rsid w:val="001F54C5"/>
    <w:rsid w:val="001F662C"/>
    <w:rsid w:val="001F6B5C"/>
    <w:rsid w:val="001F7074"/>
    <w:rsid w:val="0020005D"/>
    <w:rsid w:val="0020040E"/>
    <w:rsid w:val="00200490"/>
    <w:rsid w:val="0020083C"/>
    <w:rsid w:val="00201F3A"/>
    <w:rsid w:val="00202985"/>
    <w:rsid w:val="00203E3A"/>
    <w:rsid w:val="00203F96"/>
    <w:rsid w:val="00204603"/>
    <w:rsid w:val="00205297"/>
    <w:rsid w:val="002064BE"/>
    <w:rsid w:val="00206861"/>
    <w:rsid w:val="002069B2"/>
    <w:rsid w:val="00207FA3"/>
    <w:rsid w:val="0021175C"/>
    <w:rsid w:val="00212701"/>
    <w:rsid w:val="00214DA8"/>
    <w:rsid w:val="00214DDF"/>
    <w:rsid w:val="002150A0"/>
    <w:rsid w:val="00215423"/>
    <w:rsid w:val="002158FA"/>
    <w:rsid w:val="002166DC"/>
    <w:rsid w:val="00216A24"/>
    <w:rsid w:val="00220600"/>
    <w:rsid w:val="002206F5"/>
    <w:rsid w:val="002224DB"/>
    <w:rsid w:val="00222780"/>
    <w:rsid w:val="00222AD4"/>
    <w:rsid w:val="00223FCB"/>
    <w:rsid w:val="00225296"/>
    <w:rsid w:val="002252C3"/>
    <w:rsid w:val="00225C54"/>
    <w:rsid w:val="00226270"/>
    <w:rsid w:val="002264F0"/>
    <w:rsid w:val="00230765"/>
    <w:rsid w:val="00230B88"/>
    <w:rsid w:val="00230D18"/>
    <w:rsid w:val="002319E4"/>
    <w:rsid w:val="002321A3"/>
    <w:rsid w:val="0023519C"/>
    <w:rsid w:val="00235623"/>
    <w:rsid w:val="00235632"/>
    <w:rsid w:val="00235872"/>
    <w:rsid w:val="00236B50"/>
    <w:rsid w:val="00240770"/>
    <w:rsid w:val="00241559"/>
    <w:rsid w:val="00242700"/>
    <w:rsid w:val="00242DA7"/>
    <w:rsid w:val="002435B3"/>
    <w:rsid w:val="0024501A"/>
    <w:rsid w:val="002458EB"/>
    <w:rsid w:val="00246A36"/>
    <w:rsid w:val="00247C55"/>
    <w:rsid w:val="00247CFE"/>
    <w:rsid w:val="002500C8"/>
    <w:rsid w:val="00250E91"/>
    <w:rsid w:val="00252390"/>
    <w:rsid w:val="002524D9"/>
    <w:rsid w:val="002546D7"/>
    <w:rsid w:val="00256340"/>
    <w:rsid w:val="00257543"/>
    <w:rsid w:val="002601FF"/>
    <w:rsid w:val="002607B3"/>
    <w:rsid w:val="002617E7"/>
    <w:rsid w:val="00264228"/>
    <w:rsid w:val="00264334"/>
    <w:rsid w:val="0026473E"/>
    <w:rsid w:val="00266214"/>
    <w:rsid w:val="00266572"/>
    <w:rsid w:val="00267C83"/>
    <w:rsid w:val="00270E7E"/>
    <w:rsid w:val="0027144F"/>
    <w:rsid w:val="00271813"/>
    <w:rsid w:val="00271F3A"/>
    <w:rsid w:val="0027210D"/>
    <w:rsid w:val="002730E3"/>
    <w:rsid w:val="00273278"/>
    <w:rsid w:val="002737F4"/>
    <w:rsid w:val="002743A7"/>
    <w:rsid w:val="002754E5"/>
    <w:rsid w:val="002805F5"/>
    <w:rsid w:val="00280751"/>
    <w:rsid w:val="002815B8"/>
    <w:rsid w:val="0028280A"/>
    <w:rsid w:val="00286ACD"/>
    <w:rsid w:val="00286FFB"/>
    <w:rsid w:val="00287063"/>
    <w:rsid w:val="002870AD"/>
    <w:rsid w:val="00287591"/>
    <w:rsid w:val="00287838"/>
    <w:rsid w:val="00287E59"/>
    <w:rsid w:val="002901C0"/>
    <w:rsid w:val="002907B5"/>
    <w:rsid w:val="002920BE"/>
    <w:rsid w:val="00292EB7"/>
    <w:rsid w:val="00296227"/>
    <w:rsid w:val="00296F44"/>
    <w:rsid w:val="0029777D"/>
    <w:rsid w:val="002A055E"/>
    <w:rsid w:val="002A1CA2"/>
    <w:rsid w:val="002A1D4E"/>
    <w:rsid w:val="002A254A"/>
    <w:rsid w:val="002A2869"/>
    <w:rsid w:val="002A55F9"/>
    <w:rsid w:val="002A67CE"/>
    <w:rsid w:val="002B0330"/>
    <w:rsid w:val="002B0A8A"/>
    <w:rsid w:val="002B24D6"/>
    <w:rsid w:val="002B486A"/>
    <w:rsid w:val="002B62C3"/>
    <w:rsid w:val="002C2162"/>
    <w:rsid w:val="002C41E6"/>
    <w:rsid w:val="002C60FB"/>
    <w:rsid w:val="002C6AE7"/>
    <w:rsid w:val="002C7C94"/>
    <w:rsid w:val="002D071A"/>
    <w:rsid w:val="002D34B2"/>
    <w:rsid w:val="002D40BE"/>
    <w:rsid w:val="002D48B0"/>
    <w:rsid w:val="002D4AEC"/>
    <w:rsid w:val="002D5B37"/>
    <w:rsid w:val="002D62E9"/>
    <w:rsid w:val="002D7637"/>
    <w:rsid w:val="002D76E5"/>
    <w:rsid w:val="002E0885"/>
    <w:rsid w:val="002E17F2"/>
    <w:rsid w:val="002E511A"/>
    <w:rsid w:val="002E55EA"/>
    <w:rsid w:val="002E5E21"/>
    <w:rsid w:val="002E7CAE"/>
    <w:rsid w:val="002F09CD"/>
    <w:rsid w:val="002F0D22"/>
    <w:rsid w:val="002F1FA8"/>
    <w:rsid w:val="002F2771"/>
    <w:rsid w:val="002F2C07"/>
    <w:rsid w:val="002F37A9"/>
    <w:rsid w:val="002F42FF"/>
    <w:rsid w:val="0030060C"/>
    <w:rsid w:val="00301522"/>
    <w:rsid w:val="00301CE6"/>
    <w:rsid w:val="0030203D"/>
    <w:rsid w:val="0030256B"/>
    <w:rsid w:val="00302933"/>
    <w:rsid w:val="00302BA5"/>
    <w:rsid w:val="003031BD"/>
    <w:rsid w:val="0030357A"/>
    <w:rsid w:val="00303ADC"/>
    <w:rsid w:val="00303C7B"/>
    <w:rsid w:val="003049B1"/>
    <w:rsid w:val="0030501F"/>
    <w:rsid w:val="0030505A"/>
    <w:rsid w:val="003057CB"/>
    <w:rsid w:val="00305E9C"/>
    <w:rsid w:val="00306A0C"/>
    <w:rsid w:val="00306BE9"/>
    <w:rsid w:val="00307BA1"/>
    <w:rsid w:val="00311702"/>
    <w:rsid w:val="00311E82"/>
    <w:rsid w:val="00313FD6"/>
    <w:rsid w:val="003143BD"/>
    <w:rsid w:val="00314596"/>
    <w:rsid w:val="00314646"/>
    <w:rsid w:val="00315363"/>
    <w:rsid w:val="00317EB5"/>
    <w:rsid w:val="003203ED"/>
    <w:rsid w:val="003223B8"/>
    <w:rsid w:val="003226F6"/>
    <w:rsid w:val="003226FF"/>
    <w:rsid w:val="00322C9F"/>
    <w:rsid w:val="0032388A"/>
    <w:rsid w:val="00323F5A"/>
    <w:rsid w:val="00324D23"/>
    <w:rsid w:val="0032658A"/>
    <w:rsid w:val="00326BC8"/>
    <w:rsid w:val="00327DD0"/>
    <w:rsid w:val="003304C4"/>
    <w:rsid w:val="00331751"/>
    <w:rsid w:val="00332833"/>
    <w:rsid w:val="00333B8C"/>
    <w:rsid w:val="00334579"/>
    <w:rsid w:val="00334C48"/>
    <w:rsid w:val="00335858"/>
    <w:rsid w:val="00336BDA"/>
    <w:rsid w:val="00336F6A"/>
    <w:rsid w:val="00337900"/>
    <w:rsid w:val="00337AED"/>
    <w:rsid w:val="00340079"/>
    <w:rsid w:val="00342407"/>
    <w:rsid w:val="00342BD7"/>
    <w:rsid w:val="00344B2C"/>
    <w:rsid w:val="00344DCB"/>
    <w:rsid w:val="00346DB5"/>
    <w:rsid w:val="00346DB7"/>
    <w:rsid w:val="00346EA2"/>
    <w:rsid w:val="00347361"/>
    <w:rsid w:val="003477B1"/>
    <w:rsid w:val="003478D8"/>
    <w:rsid w:val="003505FA"/>
    <w:rsid w:val="00352EDA"/>
    <w:rsid w:val="00355CBE"/>
    <w:rsid w:val="0035602E"/>
    <w:rsid w:val="00357380"/>
    <w:rsid w:val="003602D9"/>
    <w:rsid w:val="003604CE"/>
    <w:rsid w:val="0036122C"/>
    <w:rsid w:val="003622CF"/>
    <w:rsid w:val="00362F69"/>
    <w:rsid w:val="00364528"/>
    <w:rsid w:val="00364923"/>
    <w:rsid w:val="0036512D"/>
    <w:rsid w:val="0036582F"/>
    <w:rsid w:val="003666F0"/>
    <w:rsid w:val="00370E47"/>
    <w:rsid w:val="00371AD1"/>
    <w:rsid w:val="00373249"/>
    <w:rsid w:val="00373BB2"/>
    <w:rsid w:val="00373CEA"/>
    <w:rsid w:val="003742AC"/>
    <w:rsid w:val="003743A8"/>
    <w:rsid w:val="003751E4"/>
    <w:rsid w:val="00375CA3"/>
    <w:rsid w:val="00376832"/>
    <w:rsid w:val="00377AAA"/>
    <w:rsid w:val="00377B88"/>
    <w:rsid w:val="00377CE1"/>
    <w:rsid w:val="00382384"/>
    <w:rsid w:val="00382FC3"/>
    <w:rsid w:val="003833F9"/>
    <w:rsid w:val="00385BF0"/>
    <w:rsid w:val="00385E9E"/>
    <w:rsid w:val="00386C90"/>
    <w:rsid w:val="003939FF"/>
    <w:rsid w:val="00395F3E"/>
    <w:rsid w:val="003969E6"/>
    <w:rsid w:val="003A1DF7"/>
    <w:rsid w:val="003A2223"/>
    <w:rsid w:val="003A23FC"/>
    <w:rsid w:val="003A2A0F"/>
    <w:rsid w:val="003A3FBE"/>
    <w:rsid w:val="003A45A1"/>
    <w:rsid w:val="003A4AAD"/>
    <w:rsid w:val="003A5505"/>
    <w:rsid w:val="003A5889"/>
    <w:rsid w:val="003A5B0A"/>
    <w:rsid w:val="003A6BAC"/>
    <w:rsid w:val="003A70A4"/>
    <w:rsid w:val="003A7C5A"/>
    <w:rsid w:val="003A7EF3"/>
    <w:rsid w:val="003B159C"/>
    <w:rsid w:val="003B31D6"/>
    <w:rsid w:val="003B369F"/>
    <w:rsid w:val="003B36A3"/>
    <w:rsid w:val="003B36B0"/>
    <w:rsid w:val="003B64BB"/>
    <w:rsid w:val="003B6D28"/>
    <w:rsid w:val="003B7184"/>
    <w:rsid w:val="003B73A2"/>
    <w:rsid w:val="003B7B8E"/>
    <w:rsid w:val="003B7FE5"/>
    <w:rsid w:val="003C0250"/>
    <w:rsid w:val="003C08F1"/>
    <w:rsid w:val="003C11C8"/>
    <w:rsid w:val="003C1FFB"/>
    <w:rsid w:val="003C251A"/>
    <w:rsid w:val="003C2702"/>
    <w:rsid w:val="003C2CFB"/>
    <w:rsid w:val="003C3BDE"/>
    <w:rsid w:val="003C587F"/>
    <w:rsid w:val="003C6BFE"/>
    <w:rsid w:val="003C7806"/>
    <w:rsid w:val="003D109F"/>
    <w:rsid w:val="003D17F1"/>
    <w:rsid w:val="003D2478"/>
    <w:rsid w:val="003D3A87"/>
    <w:rsid w:val="003D3C45"/>
    <w:rsid w:val="003D58D2"/>
    <w:rsid w:val="003D5B1F"/>
    <w:rsid w:val="003E010C"/>
    <w:rsid w:val="003E0744"/>
    <w:rsid w:val="003E15FA"/>
    <w:rsid w:val="003E55E4"/>
    <w:rsid w:val="003E69B8"/>
    <w:rsid w:val="003E74E3"/>
    <w:rsid w:val="003E7835"/>
    <w:rsid w:val="003E7E03"/>
    <w:rsid w:val="003F05C7"/>
    <w:rsid w:val="003F2CD4"/>
    <w:rsid w:val="003F3E51"/>
    <w:rsid w:val="003F3FC3"/>
    <w:rsid w:val="003F4380"/>
    <w:rsid w:val="003F53A6"/>
    <w:rsid w:val="003F6BBE"/>
    <w:rsid w:val="003F7A0C"/>
    <w:rsid w:val="004000E8"/>
    <w:rsid w:val="00400177"/>
    <w:rsid w:val="0040054F"/>
    <w:rsid w:val="00402E2B"/>
    <w:rsid w:val="00403F9C"/>
    <w:rsid w:val="0040512B"/>
    <w:rsid w:val="0040556C"/>
    <w:rsid w:val="00405CA5"/>
    <w:rsid w:val="0040622A"/>
    <w:rsid w:val="00407B7E"/>
    <w:rsid w:val="00407CD3"/>
    <w:rsid w:val="00410134"/>
    <w:rsid w:val="00410767"/>
    <w:rsid w:val="00410B72"/>
    <w:rsid w:val="00410F18"/>
    <w:rsid w:val="0041219A"/>
    <w:rsid w:val="0041263E"/>
    <w:rsid w:val="00412952"/>
    <w:rsid w:val="00412BDA"/>
    <w:rsid w:val="00413AAC"/>
    <w:rsid w:val="00413E92"/>
    <w:rsid w:val="00415727"/>
    <w:rsid w:val="00416676"/>
    <w:rsid w:val="00417246"/>
    <w:rsid w:val="00417B2E"/>
    <w:rsid w:val="00421105"/>
    <w:rsid w:val="00422AA4"/>
    <w:rsid w:val="004242F4"/>
    <w:rsid w:val="00426AF3"/>
    <w:rsid w:val="00427128"/>
    <w:rsid w:val="00427248"/>
    <w:rsid w:val="0043158F"/>
    <w:rsid w:val="00431615"/>
    <w:rsid w:val="00431FEB"/>
    <w:rsid w:val="00432E07"/>
    <w:rsid w:val="00436389"/>
    <w:rsid w:val="00437447"/>
    <w:rsid w:val="00441A92"/>
    <w:rsid w:val="004431DC"/>
    <w:rsid w:val="00444A83"/>
    <w:rsid w:val="00444F56"/>
    <w:rsid w:val="00446488"/>
    <w:rsid w:val="00446F14"/>
    <w:rsid w:val="0045027A"/>
    <w:rsid w:val="0045054D"/>
    <w:rsid w:val="004517AA"/>
    <w:rsid w:val="00452CAC"/>
    <w:rsid w:val="00453182"/>
    <w:rsid w:val="0045468A"/>
    <w:rsid w:val="004553DB"/>
    <w:rsid w:val="0045570F"/>
    <w:rsid w:val="00456BE2"/>
    <w:rsid w:val="00457565"/>
    <w:rsid w:val="00457834"/>
    <w:rsid w:val="004578B3"/>
    <w:rsid w:val="00457A5B"/>
    <w:rsid w:val="00457B71"/>
    <w:rsid w:val="00457D81"/>
    <w:rsid w:val="00463760"/>
    <w:rsid w:val="004638AA"/>
    <w:rsid w:val="004669E2"/>
    <w:rsid w:val="00467197"/>
    <w:rsid w:val="00470C31"/>
    <w:rsid w:val="0047117D"/>
    <w:rsid w:val="00471DE0"/>
    <w:rsid w:val="0047284C"/>
    <w:rsid w:val="004730E2"/>
    <w:rsid w:val="00473340"/>
    <w:rsid w:val="004734D0"/>
    <w:rsid w:val="00473CB3"/>
    <w:rsid w:val="0047556B"/>
    <w:rsid w:val="004765A8"/>
    <w:rsid w:val="00476A42"/>
    <w:rsid w:val="0047766A"/>
    <w:rsid w:val="00477768"/>
    <w:rsid w:val="004805DC"/>
    <w:rsid w:val="00480B6E"/>
    <w:rsid w:val="004816F9"/>
    <w:rsid w:val="00481D14"/>
    <w:rsid w:val="004832E9"/>
    <w:rsid w:val="00483AAC"/>
    <w:rsid w:val="0048413A"/>
    <w:rsid w:val="00487F3B"/>
    <w:rsid w:val="00492ABC"/>
    <w:rsid w:val="00492BC5"/>
    <w:rsid w:val="00493BD6"/>
    <w:rsid w:val="004957AF"/>
    <w:rsid w:val="004964F1"/>
    <w:rsid w:val="00496F2E"/>
    <w:rsid w:val="004A11E7"/>
    <w:rsid w:val="004A133F"/>
    <w:rsid w:val="004A16BC"/>
    <w:rsid w:val="004A2B94"/>
    <w:rsid w:val="004A3C02"/>
    <w:rsid w:val="004A5495"/>
    <w:rsid w:val="004A6F39"/>
    <w:rsid w:val="004A7B43"/>
    <w:rsid w:val="004B56A5"/>
    <w:rsid w:val="004B6F6A"/>
    <w:rsid w:val="004B7C0C"/>
    <w:rsid w:val="004C0310"/>
    <w:rsid w:val="004C22EB"/>
    <w:rsid w:val="004C3178"/>
    <w:rsid w:val="004C3898"/>
    <w:rsid w:val="004C523D"/>
    <w:rsid w:val="004C52D0"/>
    <w:rsid w:val="004C531E"/>
    <w:rsid w:val="004C72C8"/>
    <w:rsid w:val="004D0E90"/>
    <w:rsid w:val="004D36B1"/>
    <w:rsid w:val="004D42EC"/>
    <w:rsid w:val="004D6BB2"/>
    <w:rsid w:val="004D7EBD"/>
    <w:rsid w:val="004E0F97"/>
    <w:rsid w:val="004E10A4"/>
    <w:rsid w:val="004E1C75"/>
    <w:rsid w:val="004E1EA2"/>
    <w:rsid w:val="004E2680"/>
    <w:rsid w:val="004E28F9"/>
    <w:rsid w:val="004E462E"/>
    <w:rsid w:val="004E4847"/>
    <w:rsid w:val="004E4D4F"/>
    <w:rsid w:val="004E56DC"/>
    <w:rsid w:val="004E76F4"/>
    <w:rsid w:val="004F0B4E"/>
    <w:rsid w:val="004F0B6C"/>
    <w:rsid w:val="004F0BFB"/>
    <w:rsid w:val="004F19A7"/>
    <w:rsid w:val="004F2078"/>
    <w:rsid w:val="004F2E3A"/>
    <w:rsid w:val="004F4DA3"/>
    <w:rsid w:val="004F6376"/>
    <w:rsid w:val="00500A3F"/>
    <w:rsid w:val="00501C82"/>
    <w:rsid w:val="00501D73"/>
    <w:rsid w:val="00501DD2"/>
    <w:rsid w:val="00501F27"/>
    <w:rsid w:val="00503C84"/>
    <w:rsid w:val="00503E03"/>
    <w:rsid w:val="00505B6B"/>
    <w:rsid w:val="00505D52"/>
    <w:rsid w:val="00506557"/>
    <w:rsid w:val="0050677A"/>
    <w:rsid w:val="00507A09"/>
    <w:rsid w:val="005108D8"/>
    <w:rsid w:val="00510C75"/>
    <w:rsid w:val="00511178"/>
    <w:rsid w:val="00511406"/>
    <w:rsid w:val="005116F9"/>
    <w:rsid w:val="00512ABB"/>
    <w:rsid w:val="0051400B"/>
    <w:rsid w:val="00514AED"/>
    <w:rsid w:val="005153A7"/>
    <w:rsid w:val="005153FA"/>
    <w:rsid w:val="00520981"/>
    <w:rsid w:val="005219CF"/>
    <w:rsid w:val="00525C89"/>
    <w:rsid w:val="00527B0D"/>
    <w:rsid w:val="00530882"/>
    <w:rsid w:val="00531051"/>
    <w:rsid w:val="005310E6"/>
    <w:rsid w:val="00531CE9"/>
    <w:rsid w:val="0053395C"/>
    <w:rsid w:val="00533D3D"/>
    <w:rsid w:val="00534B59"/>
    <w:rsid w:val="00535CAC"/>
    <w:rsid w:val="00535D1F"/>
    <w:rsid w:val="00536374"/>
    <w:rsid w:val="00536759"/>
    <w:rsid w:val="00537AFE"/>
    <w:rsid w:val="00537C62"/>
    <w:rsid w:val="00540CDC"/>
    <w:rsid w:val="00542CD8"/>
    <w:rsid w:val="00543A14"/>
    <w:rsid w:val="00546970"/>
    <w:rsid w:val="00552767"/>
    <w:rsid w:val="005539B1"/>
    <w:rsid w:val="00554E19"/>
    <w:rsid w:val="00555362"/>
    <w:rsid w:val="00555460"/>
    <w:rsid w:val="0055558E"/>
    <w:rsid w:val="00556AB8"/>
    <w:rsid w:val="00560EB6"/>
    <w:rsid w:val="0056121F"/>
    <w:rsid w:val="005618EF"/>
    <w:rsid w:val="00561AF7"/>
    <w:rsid w:val="005650EB"/>
    <w:rsid w:val="005653FE"/>
    <w:rsid w:val="00565E2F"/>
    <w:rsid w:val="0056674E"/>
    <w:rsid w:val="00566CF4"/>
    <w:rsid w:val="00571992"/>
    <w:rsid w:val="00571993"/>
    <w:rsid w:val="00572505"/>
    <w:rsid w:val="00575EAA"/>
    <w:rsid w:val="00576498"/>
    <w:rsid w:val="00577A00"/>
    <w:rsid w:val="00582809"/>
    <w:rsid w:val="00582AC4"/>
    <w:rsid w:val="005841E8"/>
    <w:rsid w:val="0058438E"/>
    <w:rsid w:val="00585D4A"/>
    <w:rsid w:val="0058622B"/>
    <w:rsid w:val="0058798C"/>
    <w:rsid w:val="005900FA"/>
    <w:rsid w:val="00591393"/>
    <w:rsid w:val="005915D0"/>
    <w:rsid w:val="005935A4"/>
    <w:rsid w:val="00593B1B"/>
    <w:rsid w:val="005948C2"/>
    <w:rsid w:val="00595DCA"/>
    <w:rsid w:val="0059779B"/>
    <w:rsid w:val="00597D75"/>
    <w:rsid w:val="005A0061"/>
    <w:rsid w:val="005A0744"/>
    <w:rsid w:val="005A1518"/>
    <w:rsid w:val="005A1611"/>
    <w:rsid w:val="005A167E"/>
    <w:rsid w:val="005A209A"/>
    <w:rsid w:val="005A2217"/>
    <w:rsid w:val="005A662D"/>
    <w:rsid w:val="005B0A36"/>
    <w:rsid w:val="005B0ACC"/>
    <w:rsid w:val="005B0B97"/>
    <w:rsid w:val="005B134C"/>
    <w:rsid w:val="005B1409"/>
    <w:rsid w:val="005B35D7"/>
    <w:rsid w:val="005B392A"/>
    <w:rsid w:val="005B3AA3"/>
    <w:rsid w:val="005B4194"/>
    <w:rsid w:val="005B4213"/>
    <w:rsid w:val="005B6F83"/>
    <w:rsid w:val="005C17C8"/>
    <w:rsid w:val="005C3397"/>
    <w:rsid w:val="005C3B25"/>
    <w:rsid w:val="005C448A"/>
    <w:rsid w:val="005C5578"/>
    <w:rsid w:val="005C578D"/>
    <w:rsid w:val="005C5913"/>
    <w:rsid w:val="005C6D2E"/>
    <w:rsid w:val="005C74FB"/>
    <w:rsid w:val="005D0E02"/>
    <w:rsid w:val="005D1153"/>
    <w:rsid w:val="005D1602"/>
    <w:rsid w:val="005D19ED"/>
    <w:rsid w:val="005D2AFB"/>
    <w:rsid w:val="005D2D6A"/>
    <w:rsid w:val="005D3515"/>
    <w:rsid w:val="005D3641"/>
    <w:rsid w:val="005D41B2"/>
    <w:rsid w:val="005D466C"/>
    <w:rsid w:val="005D6164"/>
    <w:rsid w:val="005D6ADE"/>
    <w:rsid w:val="005D6CD9"/>
    <w:rsid w:val="005E0655"/>
    <w:rsid w:val="005E1F30"/>
    <w:rsid w:val="005E243D"/>
    <w:rsid w:val="005E385F"/>
    <w:rsid w:val="005E44C1"/>
    <w:rsid w:val="005E5B81"/>
    <w:rsid w:val="005E6AFC"/>
    <w:rsid w:val="005E7893"/>
    <w:rsid w:val="005E7B83"/>
    <w:rsid w:val="005E7C1B"/>
    <w:rsid w:val="005F1A77"/>
    <w:rsid w:val="005F2031"/>
    <w:rsid w:val="005F2CB1"/>
    <w:rsid w:val="005F3025"/>
    <w:rsid w:val="005F4A1B"/>
    <w:rsid w:val="005F4EB0"/>
    <w:rsid w:val="005F6123"/>
    <w:rsid w:val="005F618C"/>
    <w:rsid w:val="005F70BD"/>
    <w:rsid w:val="005F742E"/>
    <w:rsid w:val="00600B61"/>
    <w:rsid w:val="006027C6"/>
    <w:rsid w:val="006027F1"/>
    <w:rsid w:val="0060283C"/>
    <w:rsid w:val="00603ADB"/>
    <w:rsid w:val="00604C78"/>
    <w:rsid w:val="00604F14"/>
    <w:rsid w:val="00606696"/>
    <w:rsid w:val="00606A90"/>
    <w:rsid w:val="00606F62"/>
    <w:rsid w:val="00610D1D"/>
    <w:rsid w:val="00611B83"/>
    <w:rsid w:val="00612F58"/>
    <w:rsid w:val="00613257"/>
    <w:rsid w:val="006136B0"/>
    <w:rsid w:val="00617418"/>
    <w:rsid w:val="006209DE"/>
    <w:rsid w:val="00620A71"/>
    <w:rsid w:val="00620D80"/>
    <w:rsid w:val="00620FC1"/>
    <w:rsid w:val="00620FE0"/>
    <w:rsid w:val="00621056"/>
    <w:rsid w:val="006214AE"/>
    <w:rsid w:val="006234A6"/>
    <w:rsid w:val="006255E7"/>
    <w:rsid w:val="00625C68"/>
    <w:rsid w:val="00625D65"/>
    <w:rsid w:val="006268E9"/>
    <w:rsid w:val="00626BC2"/>
    <w:rsid w:val="006275B8"/>
    <w:rsid w:val="00630001"/>
    <w:rsid w:val="0063061B"/>
    <w:rsid w:val="006311B3"/>
    <w:rsid w:val="00631624"/>
    <w:rsid w:val="00632077"/>
    <w:rsid w:val="0063284C"/>
    <w:rsid w:val="00633D3A"/>
    <w:rsid w:val="00635592"/>
    <w:rsid w:val="006358C2"/>
    <w:rsid w:val="00636398"/>
    <w:rsid w:val="006368D3"/>
    <w:rsid w:val="00637744"/>
    <w:rsid w:val="006377EC"/>
    <w:rsid w:val="0064013D"/>
    <w:rsid w:val="00640954"/>
    <w:rsid w:val="0064151F"/>
    <w:rsid w:val="00641533"/>
    <w:rsid w:val="0064208D"/>
    <w:rsid w:val="00642145"/>
    <w:rsid w:val="0064276A"/>
    <w:rsid w:val="00642B48"/>
    <w:rsid w:val="00643475"/>
    <w:rsid w:val="0064396A"/>
    <w:rsid w:val="0064496D"/>
    <w:rsid w:val="00645A77"/>
    <w:rsid w:val="0064624E"/>
    <w:rsid w:val="00650AB9"/>
    <w:rsid w:val="00650B3A"/>
    <w:rsid w:val="00650DE6"/>
    <w:rsid w:val="006516B5"/>
    <w:rsid w:val="006517B8"/>
    <w:rsid w:val="00653011"/>
    <w:rsid w:val="006546B6"/>
    <w:rsid w:val="00654D19"/>
    <w:rsid w:val="006554E0"/>
    <w:rsid w:val="00655733"/>
    <w:rsid w:val="00655ACD"/>
    <w:rsid w:val="00656A92"/>
    <w:rsid w:val="00656DDE"/>
    <w:rsid w:val="0065708A"/>
    <w:rsid w:val="0066011D"/>
    <w:rsid w:val="006607C0"/>
    <w:rsid w:val="00660C9E"/>
    <w:rsid w:val="006613A6"/>
    <w:rsid w:val="006627A2"/>
    <w:rsid w:val="00662B08"/>
    <w:rsid w:val="006632FC"/>
    <w:rsid w:val="006634E6"/>
    <w:rsid w:val="00663DD4"/>
    <w:rsid w:val="006655EE"/>
    <w:rsid w:val="006662B5"/>
    <w:rsid w:val="006665C5"/>
    <w:rsid w:val="00667EE7"/>
    <w:rsid w:val="00670922"/>
    <w:rsid w:val="00670BE1"/>
    <w:rsid w:val="006712CC"/>
    <w:rsid w:val="00671769"/>
    <w:rsid w:val="0067218F"/>
    <w:rsid w:val="0067259D"/>
    <w:rsid w:val="00673233"/>
    <w:rsid w:val="00673883"/>
    <w:rsid w:val="006741F2"/>
    <w:rsid w:val="00674CC3"/>
    <w:rsid w:val="00675C72"/>
    <w:rsid w:val="00676341"/>
    <w:rsid w:val="0067643D"/>
    <w:rsid w:val="00676BA8"/>
    <w:rsid w:val="00676E0C"/>
    <w:rsid w:val="006771F9"/>
    <w:rsid w:val="006776D7"/>
    <w:rsid w:val="006809CC"/>
    <w:rsid w:val="00681003"/>
    <w:rsid w:val="006813B3"/>
    <w:rsid w:val="0068158E"/>
    <w:rsid w:val="006817C9"/>
    <w:rsid w:val="00681A74"/>
    <w:rsid w:val="00682D64"/>
    <w:rsid w:val="00683ECE"/>
    <w:rsid w:val="00686E99"/>
    <w:rsid w:val="006907B8"/>
    <w:rsid w:val="00690FF2"/>
    <w:rsid w:val="00692019"/>
    <w:rsid w:val="00694B01"/>
    <w:rsid w:val="00694E48"/>
    <w:rsid w:val="00695FC2"/>
    <w:rsid w:val="00696949"/>
    <w:rsid w:val="0069697E"/>
    <w:rsid w:val="00697052"/>
    <w:rsid w:val="006A25EE"/>
    <w:rsid w:val="006A440B"/>
    <w:rsid w:val="006A46FB"/>
    <w:rsid w:val="006A4A43"/>
    <w:rsid w:val="006A5E28"/>
    <w:rsid w:val="006A697B"/>
    <w:rsid w:val="006A7AFF"/>
    <w:rsid w:val="006B0BC5"/>
    <w:rsid w:val="006B1816"/>
    <w:rsid w:val="006B1C68"/>
    <w:rsid w:val="006B2099"/>
    <w:rsid w:val="006B2A53"/>
    <w:rsid w:val="006B2B5B"/>
    <w:rsid w:val="006B2BA7"/>
    <w:rsid w:val="006B3020"/>
    <w:rsid w:val="006B50CF"/>
    <w:rsid w:val="006B51A0"/>
    <w:rsid w:val="006B6E06"/>
    <w:rsid w:val="006B7B76"/>
    <w:rsid w:val="006C03B8"/>
    <w:rsid w:val="006C147A"/>
    <w:rsid w:val="006C22A5"/>
    <w:rsid w:val="006C3444"/>
    <w:rsid w:val="006C5EC9"/>
    <w:rsid w:val="006C6059"/>
    <w:rsid w:val="006C6622"/>
    <w:rsid w:val="006C71D1"/>
    <w:rsid w:val="006C7522"/>
    <w:rsid w:val="006D4FD7"/>
    <w:rsid w:val="006D5463"/>
    <w:rsid w:val="006D6F08"/>
    <w:rsid w:val="006E062C"/>
    <w:rsid w:val="006E0DDE"/>
    <w:rsid w:val="006E0E8A"/>
    <w:rsid w:val="006E1C82"/>
    <w:rsid w:val="006E28B7"/>
    <w:rsid w:val="006E2914"/>
    <w:rsid w:val="006E2A9B"/>
    <w:rsid w:val="006E3190"/>
    <w:rsid w:val="006E3310"/>
    <w:rsid w:val="006E3532"/>
    <w:rsid w:val="006E4E39"/>
    <w:rsid w:val="006E565E"/>
    <w:rsid w:val="006E673D"/>
    <w:rsid w:val="006E7D3B"/>
    <w:rsid w:val="006F045E"/>
    <w:rsid w:val="006F0DEA"/>
    <w:rsid w:val="006F1B70"/>
    <w:rsid w:val="006F28C1"/>
    <w:rsid w:val="006F2B89"/>
    <w:rsid w:val="006F30D7"/>
    <w:rsid w:val="006F341D"/>
    <w:rsid w:val="006F3CDE"/>
    <w:rsid w:val="006F43E3"/>
    <w:rsid w:val="006F58D4"/>
    <w:rsid w:val="006F5A06"/>
    <w:rsid w:val="006F5B51"/>
    <w:rsid w:val="006F6407"/>
    <w:rsid w:val="006F6582"/>
    <w:rsid w:val="006F6741"/>
    <w:rsid w:val="00701125"/>
    <w:rsid w:val="0070194E"/>
    <w:rsid w:val="0070346E"/>
    <w:rsid w:val="00704EDB"/>
    <w:rsid w:val="00705459"/>
    <w:rsid w:val="00706101"/>
    <w:rsid w:val="00707072"/>
    <w:rsid w:val="00707BFA"/>
    <w:rsid w:val="00707D61"/>
    <w:rsid w:val="00707F43"/>
    <w:rsid w:val="00712287"/>
    <w:rsid w:val="00712772"/>
    <w:rsid w:val="0071372B"/>
    <w:rsid w:val="00714655"/>
    <w:rsid w:val="007148D3"/>
    <w:rsid w:val="007157B9"/>
    <w:rsid w:val="00715B9A"/>
    <w:rsid w:val="00715F99"/>
    <w:rsid w:val="007160CA"/>
    <w:rsid w:val="0071679D"/>
    <w:rsid w:val="00717505"/>
    <w:rsid w:val="00717EC7"/>
    <w:rsid w:val="0072189F"/>
    <w:rsid w:val="0072292A"/>
    <w:rsid w:val="00723E29"/>
    <w:rsid w:val="00723FB7"/>
    <w:rsid w:val="00725722"/>
    <w:rsid w:val="007257D0"/>
    <w:rsid w:val="00726EA6"/>
    <w:rsid w:val="00727208"/>
    <w:rsid w:val="00727680"/>
    <w:rsid w:val="00727D8E"/>
    <w:rsid w:val="00730B7F"/>
    <w:rsid w:val="00732298"/>
    <w:rsid w:val="007348B1"/>
    <w:rsid w:val="00734C86"/>
    <w:rsid w:val="00734D07"/>
    <w:rsid w:val="0073505D"/>
    <w:rsid w:val="0073598E"/>
    <w:rsid w:val="007362A6"/>
    <w:rsid w:val="00736D7D"/>
    <w:rsid w:val="007372E0"/>
    <w:rsid w:val="007401CB"/>
    <w:rsid w:val="00740E58"/>
    <w:rsid w:val="00741880"/>
    <w:rsid w:val="00741FE5"/>
    <w:rsid w:val="007421F1"/>
    <w:rsid w:val="00743D71"/>
    <w:rsid w:val="007445A0"/>
    <w:rsid w:val="00744E32"/>
    <w:rsid w:val="0074524B"/>
    <w:rsid w:val="00746403"/>
    <w:rsid w:val="0074746F"/>
    <w:rsid w:val="00747D8B"/>
    <w:rsid w:val="00747E0C"/>
    <w:rsid w:val="00750CFE"/>
    <w:rsid w:val="00751228"/>
    <w:rsid w:val="00751468"/>
    <w:rsid w:val="007523F7"/>
    <w:rsid w:val="00754051"/>
    <w:rsid w:val="0075479A"/>
    <w:rsid w:val="00755A16"/>
    <w:rsid w:val="007571E1"/>
    <w:rsid w:val="00757D4E"/>
    <w:rsid w:val="007600B4"/>
    <w:rsid w:val="007604B2"/>
    <w:rsid w:val="00761237"/>
    <w:rsid w:val="0076208B"/>
    <w:rsid w:val="00762238"/>
    <w:rsid w:val="00765281"/>
    <w:rsid w:val="00765ABC"/>
    <w:rsid w:val="00765D1B"/>
    <w:rsid w:val="007664B2"/>
    <w:rsid w:val="00766653"/>
    <w:rsid w:val="00766BAD"/>
    <w:rsid w:val="00766C38"/>
    <w:rsid w:val="007671CD"/>
    <w:rsid w:val="00767D12"/>
    <w:rsid w:val="007714AB"/>
    <w:rsid w:val="007716D0"/>
    <w:rsid w:val="007729A2"/>
    <w:rsid w:val="007750D6"/>
    <w:rsid w:val="007755F2"/>
    <w:rsid w:val="00775955"/>
    <w:rsid w:val="007762B3"/>
    <w:rsid w:val="00776971"/>
    <w:rsid w:val="0077720E"/>
    <w:rsid w:val="00777968"/>
    <w:rsid w:val="00780A80"/>
    <w:rsid w:val="0078177E"/>
    <w:rsid w:val="0078196F"/>
    <w:rsid w:val="00781FD2"/>
    <w:rsid w:val="00782D54"/>
    <w:rsid w:val="0078304C"/>
    <w:rsid w:val="0078320E"/>
    <w:rsid w:val="00783628"/>
    <w:rsid w:val="00783673"/>
    <w:rsid w:val="00783DF4"/>
    <w:rsid w:val="00784235"/>
    <w:rsid w:val="00784D33"/>
    <w:rsid w:val="00785490"/>
    <w:rsid w:val="007868E0"/>
    <w:rsid w:val="0078712E"/>
    <w:rsid w:val="00790922"/>
    <w:rsid w:val="00792193"/>
    <w:rsid w:val="007925EA"/>
    <w:rsid w:val="00793CD8"/>
    <w:rsid w:val="00793DC0"/>
    <w:rsid w:val="00795C92"/>
    <w:rsid w:val="00796231"/>
    <w:rsid w:val="007A14D8"/>
    <w:rsid w:val="007A1C24"/>
    <w:rsid w:val="007A1CB3"/>
    <w:rsid w:val="007A306F"/>
    <w:rsid w:val="007A31B8"/>
    <w:rsid w:val="007A4171"/>
    <w:rsid w:val="007A43A6"/>
    <w:rsid w:val="007A443C"/>
    <w:rsid w:val="007A58A6"/>
    <w:rsid w:val="007A59F0"/>
    <w:rsid w:val="007A6349"/>
    <w:rsid w:val="007A643F"/>
    <w:rsid w:val="007A6EBC"/>
    <w:rsid w:val="007B0DE7"/>
    <w:rsid w:val="007B1F94"/>
    <w:rsid w:val="007B24E7"/>
    <w:rsid w:val="007B34E8"/>
    <w:rsid w:val="007B3D2D"/>
    <w:rsid w:val="007B50AE"/>
    <w:rsid w:val="007B51DF"/>
    <w:rsid w:val="007B63F3"/>
    <w:rsid w:val="007B6AE4"/>
    <w:rsid w:val="007B769F"/>
    <w:rsid w:val="007C05DD"/>
    <w:rsid w:val="007C0A2A"/>
    <w:rsid w:val="007C3D18"/>
    <w:rsid w:val="007C60BF"/>
    <w:rsid w:val="007C6A07"/>
    <w:rsid w:val="007C6D5B"/>
    <w:rsid w:val="007C75A1"/>
    <w:rsid w:val="007C77A5"/>
    <w:rsid w:val="007D03AE"/>
    <w:rsid w:val="007D04E5"/>
    <w:rsid w:val="007D0FCD"/>
    <w:rsid w:val="007D1742"/>
    <w:rsid w:val="007D3984"/>
    <w:rsid w:val="007D5901"/>
    <w:rsid w:val="007D633A"/>
    <w:rsid w:val="007D6371"/>
    <w:rsid w:val="007D63FB"/>
    <w:rsid w:val="007D7526"/>
    <w:rsid w:val="007E0C66"/>
    <w:rsid w:val="007E0FD1"/>
    <w:rsid w:val="007E186D"/>
    <w:rsid w:val="007E1DCE"/>
    <w:rsid w:val="007E202A"/>
    <w:rsid w:val="007E3327"/>
    <w:rsid w:val="007E4610"/>
    <w:rsid w:val="007E4715"/>
    <w:rsid w:val="007E4DED"/>
    <w:rsid w:val="007E505B"/>
    <w:rsid w:val="007E63A0"/>
    <w:rsid w:val="007E7091"/>
    <w:rsid w:val="007E7986"/>
    <w:rsid w:val="007F02CE"/>
    <w:rsid w:val="007F2276"/>
    <w:rsid w:val="007F2F2B"/>
    <w:rsid w:val="007F6ADF"/>
    <w:rsid w:val="00800945"/>
    <w:rsid w:val="00803FAE"/>
    <w:rsid w:val="00805ADF"/>
    <w:rsid w:val="0080605F"/>
    <w:rsid w:val="00806474"/>
    <w:rsid w:val="0080715A"/>
    <w:rsid w:val="00807786"/>
    <w:rsid w:val="00811B5E"/>
    <w:rsid w:val="00811FCB"/>
    <w:rsid w:val="008158D6"/>
    <w:rsid w:val="008160DF"/>
    <w:rsid w:val="00817196"/>
    <w:rsid w:val="00817676"/>
    <w:rsid w:val="0082097C"/>
    <w:rsid w:val="00820FDB"/>
    <w:rsid w:val="008213C6"/>
    <w:rsid w:val="00822F0B"/>
    <w:rsid w:val="008235DB"/>
    <w:rsid w:val="00823986"/>
    <w:rsid w:val="00823DE8"/>
    <w:rsid w:val="00824AB4"/>
    <w:rsid w:val="00825C42"/>
    <w:rsid w:val="00825D25"/>
    <w:rsid w:val="00826916"/>
    <w:rsid w:val="00827D6F"/>
    <w:rsid w:val="00830396"/>
    <w:rsid w:val="008306CC"/>
    <w:rsid w:val="00832AA0"/>
    <w:rsid w:val="008334AF"/>
    <w:rsid w:val="00833A2F"/>
    <w:rsid w:val="00835591"/>
    <w:rsid w:val="008376AC"/>
    <w:rsid w:val="00837A21"/>
    <w:rsid w:val="008444E8"/>
    <w:rsid w:val="00844E80"/>
    <w:rsid w:val="00845321"/>
    <w:rsid w:val="00846FE7"/>
    <w:rsid w:val="00847862"/>
    <w:rsid w:val="0085054C"/>
    <w:rsid w:val="008521E4"/>
    <w:rsid w:val="008549B8"/>
    <w:rsid w:val="00856911"/>
    <w:rsid w:val="00860D6D"/>
    <w:rsid w:val="008610A2"/>
    <w:rsid w:val="00861FE4"/>
    <w:rsid w:val="008621D0"/>
    <w:rsid w:val="00862F77"/>
    <w:rsid w:val="0086448E"/>
    <w:rsid w:val="00864B86"/>
    <w:rsid w:val="00864EB6"/>
    <w:rsid w:val="008677FD"/>
    <w:rsid w:val="008706D4"/>
    <w:rsid w:val="00870F8A"/>
    <w:rsid w:val="008719A4"/>
    <w:rsid w:val="00871D23"/>
    <w:rsid w:val="008720E8"/>
    <w:rsid w:val="0087398C"/>
    <w:rsid w:val="00874312"/>
    <w:rsid w:val="0087437C"/>
    <w:rsid w:val="00875CD7"/>
    <w:rsid w:val="008765F6"/>
    <w:rsid w:val="008766A9"/>
    <w:rsid w:val="00876B4D"/>
    <w:rsid w:val="00877F18"/>
    <w:rsid w:val="0088033D"/>
    <w:rsid w:val="00882666"/>
    <w:rsid w:val="008833DE"/>
    <w:rsid w:val="00884029"/>
    <w:rsid w:val="00884DE7"/>
    <w:rsid w:val="00885847"/>
    <w:rsid w:val="00886810"/>
    <w:rsid w:val="00886BF3"/>
    <w:rsid w:val="00892E86"/>
    <w:rsid w:val="00893FC8"/>
    <w:rsid w:val="008941E3"/>
    <w:rsid w:val="0089421A"/>
    <w:rsid w:val="00894A88"/>
    <w:rsid w:val="00895386"/>
    <w:rsid w:val="0089603C"/>
    <w:rsid w:val="00896F92"/>
    <w:rsid w:val="00897297"/>
    <w:rsid w:val="008A12B3"/>
    <w:rsid w:val="008A21FF"/>
    <w:rsid w:val="008A2CE2"/>
    <w:rsid w:val="008A30AC"/>
    <w:rsid w:val="008A44B8"/>
    <w:rsid w:val="008A51A8"/>
    <w:rsid w:val="008A54C7"/>
    <w:rsid w:val="008A5999"/>
    <w:rsid w:val="008A6F08"/>
    <w:rsid w:val="008A76B4"/>
    <w:rsid w:val="008A77D8"/>
    <w:rsid w:val="008B0483"/>
    <w:rsid w:val="008B1171"/>
    <w:rsid w:val="008B120C"/>
    <w:rsid w:val="008B2E93"/>
    <w:rsid w:val="008B2EC5"/>
    <w:rsid w:val="008B2EE8"/>
    <w:rsid w:val="008B387B"/>
    <w:rsid w:val="008B4C8F"/>
    <w:rsid w:val="008B51A0"/>
    <w:rsid w:val="008B5314"/>
    <w:rsid w:val="008B592A"/>
    <w:rsid w:val="008B6DB6"/>
    <w:rsid w:val="008B7025"/>
    <w:rsid w:val="008B729B"/>
    <w:rsid w:val="008B7B5C"/>
    <w:rsid w:val="008C0C99"/>
    <w:rsid w:val="008C2017"/>
    <w:rsid w:val="008C2806"/>
    <w:rsid w:val="008C2C40"/>
    <w:rsid w:val="008C4958"/>
    <w:rsid w:val="008C4BAA"/>
    <w:rsid w:val="008C6AE8"/>
    <w:rsid w:val="008C7557"/>
    <w:rsid w:val="008C7573"/>
    <w:rsid w:val="008C77C5"/>
    <w:rsid w:val="008C7C6A"/>
    <w:rsid w:val="008D00A5"/>
    <w:rsid w:val="008D34F1"/>
    <w:rsid w:val="008D39D8"/>
    <w:rsid w:val="008D417C"/>
    <w:rsid w:val="008D6D1A"/>
    <w:rsid w:val="008D742C"/>
    <w:rsid w:val="008E065E"/>
    <w:rsid w:val="008E088A"/>
    <w:rsid w:val="008E0927"/>
    <w:rsid w:val="008E1909"/>
    <w:rsid w:val="008E3BB2"/>
    <w:rsid w:val="008E55A2"/>
    <w:rsid w:val="008E59CD"/>
    <w:rsid w:val="008E6589"/>
    <w:rsid w:val="008F1EAB"/>
    <w:rsid w:val="008F26D8"/>
    <w:rsid w:val="008F33DC"/>
    <w:rsid w:val="008F37AD"/>
    <w:rsid w:val="008F477F"/>
    <w:rsid w:val="008F4A35"/>
    <w:rsid w:val="008F5D62"/>
    <w:rsid w:val="008F61F3"/>
    <w:rsid w:val="008F6760"/>
    <w:rsid w:val="0090016A"/>
    <w:rsid w:val="009010B5"/>
    <w:rsid w:val="00902350"/>
    <w:rsid w:val="00902A69"/>
    <w:rsid w:val="00902F4E"/>
    <w:rsid w:val="0090336B"/>
    <w:rsid w:val="00904A16"/>
    <w:rsid w:val="009053AA"/>
    <w:rsid w:val="00906058"/>
    <w:rsid w:val="00906939"/>
    <w:rsid w:val="00910B7D"/>
    <w:rsid w:val="009117AF"/>
    <w:rsid w:val="00911DFB"/>
    <w:rsid w:val="009128FC"/>
    <w:rsid w:val="009139D9"/>
    <w:rsid w:val="00914AD8"/>
    <w:rsid w:val="00916079"/>
    <w:rsid w:val="00917CE9"/>
    <w:rsid w:val="00917F27"/>
    <w:rsid w:val="00920BF2"/>
    <w:rsid w:val="009215D4"/>
    <w:rsid w:val="009216C3"/>
    <w:rsid w:val="0092190B"/>
    <w:rsid w:val="00922010"/>
    <w:rsid w:val="009234CD"/>
    <w:rsid w:val="00923C53"/>
    <w:rsid w:val="0092423B"/>
    <w:rsid w:val="00925558"/>
    <w:rsid w:val="00925D10"/>
    <w:rsid w:val="0093106D"/>
    <w:rsid w:val="009316E3"/>
    <w:rsid w:val="00931BD9"/>
    <w:rsid w:val="009320E4"/>
    <w:rsid w:val="00934A76"/>
    <w:rsid w:val="009368F3"/>
    <w:rsid w:val="00941555"/>
    <w:rsid w:val="00941636"/>
    <w:rsid w:val="00942FCC"/>
    <w:rsid w:val="00943742"/>
    <w:rsid w:val="00943B9B"/>
    <w:rsid w:val="00943D92"/>
    <w:rsid w:val="00943F8E"/>
    <w:rsid w:val="0094502D"/>
    <w:rsid w:val="0094561E"/>
    <w:rsid w:val="00945C05"/>
    <w:rsid w:val="00946945"/>
    <w:rsid w:val="00947713"/>
    <w:rsid w:val="00950083"/>
    <w:rsid w:val="00950DE7"/>
    <w:rsid w:val="00950FCB"/>
    <w:rsid w:val="0095301B"/>
    <w:rsid w:val="00953120"/>
    <w:rsid w:val="00953920"/>
    <w:rsid w:val="00953D47"/>
    <w:rsid w:val="0095681E"/>
    <w:rsid w:val="009572D4"/>
    <w:rsid w:val="00961921"/>
    <w:rsid w:val="00961E18"/>
    <w:rsid w:val="0096430A"/>
    <w:rsid w:val="0096554B"/>
    <w:rsid w:val="0096584A"/>
    <w:rsid w:val="00967F48"/>
    <w:rsid w:val="00971F08"/>
    <w:rsid w:val="00972BEF"/>
    <w:rsid w:val="0097603D"/>
    <w:rsid w:val="009762F2"/>
    <w:rsid w:val="00976440"/>
    <w:rsid w:val="00976949"/>
    <w:rsid w:val="00977610"/>
    <w:rsid w:val="00980477"/>
    <w:rsid w:val="00980522"/>
    <w:rsid w:val="0098204B"/>
    <w:rsid w:val="009828C4"/>
    <w:rsid w:val="00982B1D"/>
    <w:rsid w:val="00983425"/>
    <w:rsid w:val="00983950"/>
    <w:rsid w:val="00985253"/>
    <w:rsid w:val="009853B3"/>
    <w:rsid w:val="00987313"/>
    <w:rsid w:val="009875F7"/>
    <w:rsid w:val="0098796D"/>
    <w:rsid w:val="00990630"/>
    <w:rsid w:val="00991761"/>
    <w:rsid w:val="009935DA"/>
    <w:rsid w:val="00993710"/>
    <w:rsid w:val="00994DCA"/>
    <w:rsid w:val="009960EC"/>
    <w:rsid w:val="0099688B"/>
    <w:rsid w:val="009970DD"/>
    <w:rsid w:val="009A0FBA"/>
    <w:rsid w:val="009A1601"/>
    <w:rsid w:val="009A2792"/>
    <w:rsid w:val="009A2DF7"/>
    <w:rsid w:val="009A3BB6"/>
    <w:rsid w:val="009A462D"/>
    <w:rsid w:val="009A5CBA"/>
    <w:rsid w:val="009A77E9"/>
    <w:rsid w:val="009B1F30"/>
    <w:rsid w:val="009B3AC2"/>
    <w:rsid w:val="009B4DF4"/>
    <w:rsid w:val="009B55E7"/>
    <w:rsid w:val="009B564E"/>
    <w:rsid w:val="009B668D"/>
    <w:rsid w:val="009B6E10"/>
    <w:rsid w:val="009B720C"/>
    <w:rsid w:val="009B7E87"/>
    <w:rsid w:val="009C0169"/>
    <w:rsid w:val="009C1BC8"/>
    <w:rsid w:val="009C1BE0"/>
    <w:rsid w:val="009C2427"/>
    <w:rsid w:val="009C313E"/>
    <w:rsid w:val="009C403E"/>
    <w:rsid w:val="009C4113"/>
    <w:rsid w:val="009C4606"/>
    <w:rsid w:val="009C7897"/>
    <w:rsid w:val="009D0101"/>
    <w:rsid w:val="009D36FB"/>
    <w:rsid w:val="009D461B"/>
    <w:rsid w:val="009D4FF0"/>
    <w:rsid w:val="009D540F"/>
    <w:rsid w:val="009D64F8"/>
    <w:rsid w:val="009D703C"/>
    <w:rsid w:val="009D718F"/>
    <w:rsid w:val="009D7830"/>
    <w:rsid w:val="009E068F"/>
    <w:rsid w:val="009E0E97"/>
    <w:rsid w:val="009E14E0"/>
    <w:rsid w:val="009E1AD5"/>
    <w:rsid w:val="009E2654"/>
    <w:rsid w:val="009E3554"/>
    <w:rsid w:val="009E35DB"/>
    <w:rsid w:val="009E47A3"/>
    <w:rsid w:val="009E4C0D"/>
    <w:rsid w:val="009E4C59"/>
    <w:rsid w:val="009E6F04"/>
    <w:rsid w:val="009E7174"/>
    <w:rsid w:val="009F08F3"/>
    <w:rsid w:val="009F344F"/>
    <w:rsid w:val="009F45DA"/>
    <w:rsid w:val="009F4A62"/>
    <w:rsid w:val="009F5CAD"/>
    <w:rsid w:val="009F67D5"/>
    <w:rsid w:val="009F6D60"/>
    <w:rsid w:val="009F7902"/>
    <w:rsid w:val="00A02007"/>
    <w:rsid w:val="00A031D8"/>
    <w:rsid w:val="00A048A8"/>
    <w:rsid w:val="00A04F49"/>
    <w:rsid w:val="00A0505E"/>
    <w:rsid w:val="00A0508F"/>
    <w:rsid w:val="00A05630"/>
    <w:rsid w:val="00A1206A"/>
    <w:rsid w:val="00A13E54"/>
    <w:rsid w:val="00A1538E"/>
    <w:rsid w:val="00A167B0"/>
    <w:rsid w:val="00A16AAB"/>
    <w:rsid w:val="00A17F63"/>
    <w:rsid w:val="00A20B24"/>
    <w:rsid w:val="00A2193B"/>
    <w:rsid w:val="00A22798"/>
    <w:rsid w:val="00A2351A"/>
    <w:rsid w:val="00A24749"/>
    <w:rsid w:val="00A264A9"/>
    <w:rsid w:val="00A26DCF"/>
    <w:rsid w:val="00A27785"/>
    <w:rsid w:val="00A30187"/>
    <w:rsid w:val="00A33455"/>
    <w:rsid w:val="00A3381C"/>
    <w:rsid w:val="00A33E4B"/>
    <w:rsid w:val="00A33FAF"/>
    <w:rsid w:val="00A34096"/>
    <w:rsid w:val="00A3448A"/>
    <w:rsid w:val="00A35F48"/>
    <w:rsid w:val="00A36297"/>
    <w:rsid w:val="00A36BEC"/>
    <w:rsid w:val="00A370BC"/>
    <w:rsid w:val="00A37DC8"/>
    <w:rsid w:val="00A406E5"/>
    <w:rsid w:val="00A41E2B"/>
    <w:rsid w:val="00A43619"/>
    <w:rsid w:val="00A436B7"/>
    <w:rsid w:val="00A443C0"/>
    <w:rsid w:val="00A44FB4"/>
    <w:rsid w:val="00A453AE"/>
    <w:rsid w:val="00A45772"/>
    <w:rsid w:val="00A45B74"/>
    <w:rsid w:val="00A4749F"/>
    <w:rsid w:val="00A504C3"/>
    <w:rsid w:val="00A5214E"/>
    <w:rsid w:val="00A52E1D"/>
    <w:rsid w:val="00A537DD"/>
    <w:rsid w:val="00A5776F"/>
    <w:rsid w:val="00A6015B"/>
    <w:rsid w:val="00A60A1D"/>
    <w:rsid w:val="00A61499"/>
    <w:rsid w:val="00A61610"/>
    <w:rsid w:val="00A62A77"/>
    <w:rsid w:val="00A6304B"/>
    <w:rsid w:val="00A63483"/>
    <w:rsid w:val="00A63EDC"/>
    <w:rsid w:val="00A657D7"/>
    <w:rsid w:val="00A65D16"/>
    <w:rsid w:val="00A660AC"/>
    <w:rsid w:val="00A677FB"/>
    <w:rsid w:val="00A6797E"/>
    <w:rsid w:val="00A67E6C"/>
    <w:rsid w:val="00A7103E"/>
    <w:rsid w:val="00A71B99"/>
    <w:rsid w:val="00A73396"/>
    <w:rsid w:val="00A739D0"/>
    <w:rsid w:val="00A73B9C"/>
    <w:rsid w:val="00A73C05"/>
    <w:rsid w:val="00A73C81"/>
    <w:rsid w:val="00A756A0"/>
    <w:rsid w:val="00A761D4"/>
    <w:rsid w:val="00A76C36"/>
    <w:rsid w:val="00A76CDE"/>
    <w:rsid w:val="00A77D79"/>
    <w:rsid w:val="00A77EC4"/>
    <w:rsid w:val="00A80280"/>
    <w:rsid w:val="00A826BF"/>
    <w:rsid w:val="00A8296C"/>
    <w:rsid w:val="00A830FE"/>
    <w:rsid w:val="00A86420"/>
    <w:rsid w:val="00A90617"/>
    <w:rsid w:val="00A9158B"/>
    <w:rsid w:val="00A92879"/>
    <w:rsid w:val="00A92E7E"/>
    <w:rsid w:val="00A93850"/>
    <w:rsid w:val="00A9442A"/>
    <w:rsid w:val="00A94B7B"/>
    <w:rsid w:val="00A96D0F"/>
    <w:rsid w:val="00A973C4"/>
    <w:rsid w:val="00AA016F"/>
    <w:rsid w:val="00AA0BFA"/>
    <w:rsid w:val="00AA1ED6"/>
    <w:rsid w:val="00AA4DD1"/>
    <w:rsid w:val="00AA51D6"/>
    <w:rsid w:val="00AA5873"/>
    <w:rsid w:val="00AB069C"/>
    <w:rsid w:val="00AB0BC8"/>
    <w:rsid w:val="00AB0CDF"/>
    <w:rsid w:val="00AB11CA"/>
    <w:rsid w:val="00AB14D9"/>
    <w:rsid w:val="00AB2725"/>
    <w:rsid w:val="00AB35D7"/>
    <w:rsid w:val="00AB4828"/>
    <w:rsid w:val="00AB4AB8"/>
    <w:rsid w:val="00AB5F13"/>
    <w:rsid w:val="00AB655E"/>
    <w:rsid w:val="00AB71B8"/>
    <w:rsid w:val="00AC007F"/>
    <w:rsid w:val="00AC2ECD"/>
    <w:rsid w:val="00AC3119"/>
    <w:rsid w:val="00AC3A6D"/>
    <w:rsid w:val="00AC49FB"/>
    <w:rsid w:val="00AC5A10"/>
    <w:rsid w:val="00AD0AA3"/>
    <w:rsid w:val="00AD1B73"/>
    <w:rsid w:val="00AD1C50"/>
    <w:rsid w:val="00AD2BE9"/>
    <w:rsid w:val="00AD3F94"/>
    <w:rsid w:val="00AD4390"/>
    <w:rsid w:val="00AD4A5A"/>
    <w:rsid w:val="00AE27AC"/>
    <w:rsid w:val="00AE2E5E"/>
    <w:rsid w:val="00AE2FE5"/>
    <w:rsid w:val="00AE322E"/>
    <w:rsid w:val="00AE3E12"/>
    <w:rsid w:val="00AE40E0"/>
    <w:rsid w:val="00AE4DBA"/>
    <w:rsid w:val="00AE4F07"/>
    <w:rsid w:val="00AF1C5D"/>
    <w:rsid w:val="00AF1E73"/>
    <w:rsid w:val="00AF343D"/>
    <w:rsid w:val="00AF42D7"/>
    <w:rsid w:val="00AF4959"/>
    <w:rsid w:val="00B006FE"/>
    <w:rsid w:val="00B007CB"/>
    <w:rsid w:val="00B00974"/>
    <w:rsid w:val="00B01E1E"/>
    <w:rsid w:val="00B0200E"/>
    <w:rsid w:val="00B0201D"/>
    <w:rsid w:val="00B02AA9"/>
    <w:rsid w:val="00B02FA3"/>
    <w:rsid w:val="00B03B60"/>
    <w:rsid w:val="00B042FC"/>
    <w:rsid w:val="00B05084"/>
    <w:rsid w:val="00B0615C"/>
    <w:rsid w:val="00B077F1"/>
    <w:rsid w:val="00B10809"/>
    <w:rsid w:val="00B11780"/>
    <w:rsid w:val="00B12BEC"/>
    <w:rsid w:val="00B140A4"/>
    <w:rsid w:val="00B14234"/>
    <w:rsid w:val="00B1482C"/>
    <w:rsid w:val="00B14A8F"/>
    <w:rsid w:val="00B157F9"/>
    <w:rsid w:val="00B16C49"/>
    <w:rsid w:val="00B20256"/>
    <w:rsid w:val="00B20D09"/>
    <w:rsid w:val="00B21767"/>
    <w:rsid w:val="00B23A03"/>
    <w:rsid w:val="00B23E5D"/>
    <w:rsid w:val="00B26CF5"/>
    <w:rsid w:val="00B2763F"/>
    <w:rsid w:val="00B27AAC"/>
    <w:rsid w:val="00B30929"/>
    <w:rsid w:val="00B34119"/>
    <w:rsid w:val="00B3478C"/>
    <w:rsid w:val="00B355F5"/>
    <w:rsid w:val="00B35DEE"/>
    <w:rsid w:val="00B360A5"/>
    <w:rsid w:val="00B36236"/>
    <w:rsid w:val="00B372AA"/>
    <w:rsid w:val="00B40445"/>
    <w:rsid w:val="00B409E0"/>
    <w:rsid w:val="00B40D1C"/>
    <w:rsid w:val="00B40DD0"/>
    <w:rsid w:val="00B4138A"/>
    <w:rsid w:val="00B41888"/>
    <w:rsid w:val="00B422E4"/>
    <w:rsid w:val="00B42F4A"/>
    <w:rsid w:val="00B44687"/>
    <w:rsid w:val="00B446C1"/>
    <w:rsid w:val="00B457B9"/>
    <w:rsid w:val="00B45A52"/>
    <w:rsid w:val="00B46175"/>
    <w:rsid w:val="00B50883"/>
    <w:rsid w:val="00B5144F"/>
    <w:rsid w:val="00B51AF0"/>
    <w:rsid w:val="00B53474"/>
    <w:rsid w:val="00B54197"/>
    <w:rsid w:val="00B548B7"/>
    <w:rsid w:val="00B557B1"/>
    <w:rsid w:val="00B561F0"/>
    <w:rsid w:val="00B627CD"/>
    <w:rsid w:val="00B62A8C"/>
    <w:rsid w:val="00B664C7"/>
    <w:rsid w:val="00B66A39"/>
    <w:rsid w:val="00B6772E"/>
    <w:rsid w:val="00B67EBD"/>
    <w:rsid w:val="00B739F6"/>
    <w:rsid w:val="00B73BF8"/>
    <w:rsid w:val="00B75090"/>
    <w:rsid w:val="00B80E80"/>
    <w:rsid w:val="00B80F0E"/>
    <w:rsid w:val="00B81A6C"/>
    <w:rsid w:val="00B824B4"/>
    <w:rsid w:val="00B85DE5"/>
    <w:rsid w:val="00B866DB"/>
    <w:rsid w:val="00B872A1"/>
    <w:rsid w:val="00B877BB"/>
    <w:rsid w:val="00B90D97"/>
    <w:rsid w:val="00B90F73"/>
    <w:rsid w:val="00B91E76"/>
    <w:rsid w:val="00B93B59"/>
    <w:rsid w:val="00B9406A"/>
    <w:rsid w:val="00B96219"/>
    <w:rsid w:val="00B96862"/>
    <w:rsid w:val="00B96C39"/>
    <w:rsid w:val="00B97494"/>
    <w:rsid w:val="00B97754"/>
    <w:rsid w:val="00BA02CE"/>
    <w:rsid w:val="00BA0C8C"/>
    <w:rsid w:val="00BA2280"/>
    <w:rsid w:val="00BA2A08"/>
    <w:rsid w:val="00BA2D3D"/>
    <w:rsid w:val="00BA2F66"/>
    <w:rsid w:val="00BA303C"/>
    <w:rsid w:val="00BA3FE1"/>
    <w:rsid w:val="00BA4EB4"/>
    <w:rsid w:val="00BA56D2"/>
    <w:rsid w:val="00BA76E0"/>
    <w:rsid w:val="00BB007C"/>
    <w:rsid w:val="00BB015D"/>
    <w:rsid w:val="00BB2A25"/>
    <w:rsid w:val="00BB4180"/>
    <w:rsid w:val="00BB51E9"/>
    <w:rsid w:val="00BB6074"/>
    <w:rsid w:val="00BB666D"/>
    <w:rsid w:val="00BB6BA0"/>
    <w:rsid w:val="00BC0FDC"/>
    <w:rsid w:val="00BC1C26"/>
    <w:rsid w:val="00BC2B5C"/>
    <w:rsid w:val="00BC3053"/>
    <w:rsid w:val="00BC4D2E"/>
    <w:rsid w:val="00BC72A5"/>
    <w:rsid w:val="00BD040A"/>
    <w:rsid w:val="00BD1E72"/>
    <w:rsid w:val="00BD2E3B"/>
    <w:rsid w:val="00BD41F3"/>
    <w:rsid w:val="00BD47A3"/>
    <w:rsid w:val="00BD48AC"/>
    <w:rsid w:val="00BD5F1A"/>
    <w:rsid w:val="00BE1234"/>
    <w:rsid w:val="00BE1344"/>
    <w:rsid w:val="00BE2FA6"/>
    <w:rsid w:val="00BE333F"/>
    <w:rsid w:val="00BE62FA"/>
    <w:rsid w:val="00BE679A"/>
    <w:rsid w:val="00BE6ED8"/>
    <w:rsid w:val="00BE7406"/>
    <w:rsid w:val="00BE7603"/>
    <w:rsid w:val="00BF051F"/>
    <w:rsid w:val="00BF3114"/>
    <w:rsid w:val="00BF3279"/>
    <w:rsid w:val="00BF3FBF"/>
    <w:rsid w:val="00BF42F8"/>
    <w:rsid w:val="00BF53AB"/>
    <w:rsid w:val="00BF5CE3"/>
    <w:rsid w:val="00BF6A54"/>
    <w:rsid w:val="00BF74C7"/>
    <w:rsid w:val="00C003B0"/>
    <w:rsid w:val="00C0103C"/>
    <w:rsid w:val="00C015F1"/>
    <w:rsid w:val="00C01B51"/>
    <w:rsid w:val="00C01F33"/>
    <w:rsid w:val="00C0274E"/>
    <w:rsid w:val="00C02CC6"/>
    <w:rsid w:val="00C035E5"/>
    <w:rsid w:val="00C03D5E"/>
    <w:rsid w:val="00C040F7"/>
    <w:rsid w:val="00C044AB"/>
    <w:rsid w:val="00C05706"/>
    <w:rsid w:val="00C07377"/>
    <w:rsid w:val="00C10478"/>
    <w:rsid w:val="00C12107"/>
    <w:rsid w:val="00C129A9"/>
    <w:rsid w:val="00C134AB"/>
    <w:rsid w:val="00C14858"/>
    <w:rsid w:val="00C14D4B"/>
    <w:rsid w:val="00C154BB"/>
    <w:rsid w:val="00C15CFA"/>
    <w:rsid w:val="00C1648A"/>
    <w:rsid w:val="00C20718"/>
    <w:rsid w:val="00C2152A"/>
    <w:rsid w:val="00C21744"/>
    <w:rsid w:val="00C24483"/>
    <w:rsid w:val="00C26D8F"/>
    <w:rsid w:val="00C279B5"/>
    <w:rsid w:val="00C27C45"/>
    <w:rsid w:val="00C31F61"/>
    <w:rsid w:val="00C32706"/>
    <w:rsid w:val="00C33E41"/>
    <w:rsid w:val="00C36A61"/>
    <w:rsid w:val="00C36CD4"/>
    <w:rsid w:val="00C3719D"/>
    <w:rsid w:val="00C37CB2"/>
    <w:rsid w:val="00C37FC5"/>
    <w:rsid w:val="00C4073B"/>
    <w:rsid w:val="00C443CE"/>
    <w:rsid w:val="00C449FE"/>
    <w:rsid w:val="00C473A5"/>
    <w:rsid w:val="00C47BA8"/>
    <w:rsid w:val="00C51040"/>
    <w:rsid w:val="00C51DC4"/>
    <w:rsid w:val="00C528A7"/>
    <w:rsid w:val="00C536B3"/>
    <w:rsid w:val="00C54995"/>
    <w:rsid w:val="00C54D41"/>
    <w:rsid w:val="00C5652B"/>
    <w:rsid w:val="00C5667B"/>
    <w:rsid w:val="00C60783"/>
    <w:rsid w:val="00C60ACC"/>
    <w:rsid w:val="00C619B8"/>
    <w:rsid w:val="00C61EB2"/>
    <w:rsid w:val="00C63EE0"/>
    <w:rsid w:val="00C64672"/>
    <w:rsid w:val="00C6674D"/>
    <w:rsid w:val="00C70697"/>
    <w:rsid w:val="00C72093"/>
    <w:rsid w:val="00C72658"/>
    <w:rsid w:val="00C72EF4"/>
    <w:rsid w:val="00C744FE"/>
    <w:rsid w:val="00C75D2F"/>
    <w:rsid w:val="00C767BE"/>
    <w:rsid w:val="00C76E3C"/>
    <w:rsid w:val="00C777C0"/>
    <w:rsid w:val="00C77CCE"/>
    <w:rsid w:val="00C77EBE"/>
    <w:rsid w:val="00C812C6"/>
    <w:rsid w:val="00C81568"/>
    <w:rsid w:val="00C826BF"/>
    <w:rsid w:val="00C839D9"/>
    <w:rsid w:val="00C839F3"/>
    <w:rsid w:val="00C85F9F"/>
    <w:rsid w:val="00C87020"/>
    <w:rsid w:val="00C9027A"/>
    <w:rsid w:val="00C9068E"/>
    <w:rsid w:val="00C93814"/>
    <w:rsid w:val="00C93C4B"/>
    <w:rsid w:val="00C944AB"/>
    <w:rsid w:val="00C95B40"/>
    <w:rsid w:val="00C96F23"/>
    <w:rsid w:val="00CA098B"/>
    <w:rsid w:val="00CA14E2"/>
    <w:rsid w:val="00CA1ED8"/>
    <w:rsid w:val="00CA3665"/>
    <w:rsid w:val="00CA6CD3"/>
    <w:rsid w:val="00CA7BAE"/>
    <w:rsid w:val="00CB1F63"/>
    <w:rsid w:val="00CB2B9B"/>
    <w:rsid w:val="00CB3FF2"/>
    <w:rsid w:val="00CB56C1"/>
    <w:rsid w:val="00CB57AB"/>
    <w:rsid w:val="00CB6DED"/>
    <w:rsid w:val="00CB6EB9"/>
    <w:rsid w:val="00CB7170"/>
    <w:rsid w:val="00CC040E"/>
    <w:rsid w:val="00CC111F"/>
    <w:rsid w:val="00CC2011"/>
    <w:rsid w:val="00CC2A36"/>
    <w:rsid w:val="00CC2E79"/>
    <w:rsid w:val="00CC3365"/>
    <w:rsid w:val="00CC3EA0"/>
    <w:rsid w:val="00CC5043"/>
    <w:rsid w:val="00CC5655"/>
    <w:rsid w:val="00CC5A2B"/>
    <w:rsid w:val="00CC69EE"/>
    <w:rsid w:val="00CC6BE4"/>
    <w:rsid w:val="00CC7156"/>
    <w:rsid w:val="00CC7B45"/>
    <w:rsid w:val="00CD08C6"/>
    <w:rsid w:val="00CD1188"/>
    <w:rsid w:val="00CD1E78"/>
    <w:rsid w:val="00CD2ED1"/>
    <w:rsid w:val="00CD337B"/>
    <w:rsid w:val="00CD4047"/>
    <w:rsid w:val="00CD4DC3"/>
    <w:rsid w:val="00CD5A82"/>
    <w:rsid w:val="00CD68A6"/>
    <w:rsid w:val="00CD7DD2"/>
    <w:rsid w:val="00CE00E7"/>
    <w:rsid w:val="00CE0424"/>
    <w:rsid w:val="00CE05D0"/>
    <w:rsid w:val="00CE2209"/>
    <w:rsid w:val="00CE2A12"/>
    <w:rsid w:val="00CE74C0"/>
    <w:rsid w:val="00CE7561"/>
    <w:rsid w:val="00CF0612"/>
    <w:rsid w:val="00CF1354"/>
    <w:rsid w:val="00CF3B1F"/>
    <w:rsid w:val="00CF3BF6"/>
    <w:rsid w:val="00CF45A8"/>
    <w:rsid w:val="00CF625B"/>
    <w:rsid w:val="00CF64FA"/>
    <w:rsid w:val="00CF687E"/>
    <w:rsid w:val="00D000A3"/>
    <w:rsid w:val="00D00E5B"/>
    <w:rsid w:val="00D02EDC"/>
    <w:rsid w:val="00D0349B"/>
    <w:rsid w:val="00D048DD"/>
    <w:rsid w:val="00D05EF6"/>
    <w:rsid w:val="00D05F00"/>
    <w:rsid w:val="00D10204"/>
    <w:rsid w:val="00D10249"/>
    <w:rsid w:val="00D1083E"/>
    <w:rsid w:val="00D115C3"/>
    <w:rsid w:val="00D1182D"/>
    <w:rsid w:val="00D11897"/>
    <w:rsid w:val="00D12F46"/>
    <w:rsid w:val="00D13135"/>
    <w:rsid w:val="00D13E4E"/>
    <w:rsid w:val="00D1438E"/>
    <w:rsid w:val="00D16253"/>
    <w:rsid w:val="00D16E07"/>
    <w:rsid w:val="00D2291C"/>
    <w:rsid w:val="00D239A7"/>
    <w:rsid w:val="00D23F47"/>
    <w:rsid w:val="00D2602C"/>
    <w:rsid w:val="00D261E5"/>
    <w:rsid w:val="00D276E3"/>
    <w:rsid w:val="00D31364"/>
    <w:rsid w:val="00D31902"/>
    <w:rsid w:val="00D36E71"/>
    <w:rsid w:val="00D37A00"/>
    <w:rsid w:val="00D37D87"/>
    <w:rsid w:val="00D40B33"/>
    <w:rsid w:val="00D40BB7"/>
    <w:rsid w:val="00D4318F"/>
    <w:rsid w:val="00D43361"/>
    <w:rsid w:val="00D438BF"/>
    <w:rsid w:val="00D43EA9"/>
    <w:rsid w:val="00D440F8"/>
    <w:rsid w:val="00D46FB5"/>
    <w:rsid w:val="00D51853"/>
    <w:rsid w:val="00D51A3A"/>
    <w:rsid w:val="00D52DBC"/>
    <w:rsid w:val="00D53225"/>
    <w:rsid w:val="00D546FF"/>
    <w:rsid w:val="00D5512B"/>
    <w:rsid w:val="00D55AD5"/>
    <w:rsid w:val="00D56B85"/>
    <w:rsid w:val="00D576CA"/>
    <w:rsid w:val="00D61AF5"/>
    <w:rsid w:val="00D6338D"/>
    <w:rsid w:val="00D652B5"/>
    <w:rsid w:val="00D65772"/>
    <w:rsid w:val="00D658AF"/>
    <w:rsid w:val="00D66155"/>
    <w:rsid w:val="00D67153"/>
    <w:rsid w:val="00D67A0F"/>
    <w:rsid w:val="00D708B0"/>
    <w:rsid w:val="00D71080"/>
    <w:rsid w:val="00D71584"/>
    <w:rsid w:val="00D727D8"/>
    <w:rsid w:val="00D74329"/>
    <w:rsid w:val="00D77B1D"/>
    <w:rsid w:val="00D77D63"/>
    <w:rsid w:val="00D8021F"/>
    <w:rsid w:val="00D80383"/>
    <w:rsid w:val="00D81996"/>
    <w:rsid w:val="00D823C6"/>
    <w:rsid w:val="00D8327F"/>
    <w:rsid w:val="00D83509"/>
    <w:rsid w:val="00D84A27"/>
    <w:rsid w:val="00D86CA3"/>
    <w:rsid w:val="00D871CE"/>
    <w:rsid w:val="00D9196D"/>
    <w:rsid w:val="00D92982"/>
    <w:rsid w:val="00DA0B01"/>
    <w:rsid w:val="00DA0CA7"/>
    <w:rsid w:val="00DA303D"/>
    <w:rsid w:val="00DA305E"/>
    <w:rsid w:val="00DA3AB2"/>
    <w:rsid w:val="00DA4673"/>
    <w:rsid w:val="00DA5417"/>
    <w:rsid w:val="00DA56E8"/>
    <w:rsid w:val="00DB0205"/>
    <w:rsid w:val="00DB060E"/>
    <w:rsid w:val="00DB0A9F"/>
    <w:rsid w:val="00DB245F"/>
    <w:rsid w:val="00DB26C4"/>
    <w:rsid w:val="00DB377D"/>
    <w:rsid w:val="00DB3DD6"/>
    <w:rsid w:val="00DB4B8E"/>
    <w:rsid w:val="00DB5D72"/>
    <w:rsid w:val="00DC2D36"/>
    <w:rsid w:val="00DC53EF"/>
    <w:rsid w:val="00DC5445"/>
    <w:rsid w:val="00DC6EED"/>
    <w:rsid w:val="00DC7903"/>
    <w:rsid w:val="00DD0281"/>
    <w:rsid w:val="00DD28F1"/>
    <w:rsid w:val="00DD398B"/>
    <w:rsid w:val="00DD61B7"/>
    <w:rsid w:val="00DD7344"/>
    <w:rsid w:val="00DE0621"/>
    <w:rsid w:val="00DE0ABD"/>
    <w:rsid w:val="00DE0EC3"/>
    <w:rsid w:val="00DE122C"/>
    <w:rsid w:val="00DE2928"/>
    <w:rsid w:val="00DE4447"/>
    <w:rsid w:val="00DE5608"/>
    <w:rsid w:val="00DE58D0"/>
    <w:rsid w:val="00DE5F59"/>
    <w:rsid w:val="00DE654F"/>
    <w:rsid w:val="00DF0AE0"/>
    <w:rsid w:val="00DF0B6E"/>
    <w:rsid w:val="00DF10FC"/>
    <w:rsid w:val="00DF15E0"/>
    <w:rsid w:val="00DF37A0"/>
    <w:rsid w:val="00DF40ED"/>
    <w:rsid w:val="00DF430B"/>
    <w:rsid w:val="00DF5BC2"/>
    <w:rsid w:val="00DF7D7D"/>
    <w:rsid w:val="00E00499"/>
    <w:rsid w:val="00E008A5"/>
    <w:rsid w:val="00E01681"/>
    <w:rsid w:val="00E016A9"/>
    <w:rsid w:val="00E04BB2"/>
    <w:rsid w:val="00E077C4"/>
    <w:rsid w:val="00E07A58"/>
    <w:rsid w:val="00E101A9"/>
    <w:rsid w:val="00E110E7"/>
    <w:rsid w:val="00E11384"/>
    <w:rsid w:val="00E114B8"/>
    <w:rsid w:val="00E1152F"/>
    <w:rsid w:val="00E11B20"/>
    <w:rsid w:val="00E1303D"/>
    <w:rsid w:val="00E13537"/>
    <w:rsid w:val="00E13C87"/>
    <w:rsid w:val="00E17FA2"/>
    <w:rsid w:val="00E2077E"/>
    <w:rsid w:val="00E20B9D"/>
    <w:rsid w:val="00E21AF4"/>
    <w:rsid w:val="00E21BF6"/>
    <w:rsid w:val="00E22330"/>
    <w:rsid w:val="00E253CB"/>
    <w:rsid w:val="00E30B5A"/>
    <w:rsid w:val="00E30FF6"/>
    <w:rsid w:val="00E3118B"/>
    <w:rsid w:val="00E3123D"/>
    <w:rsid w:val="00E31461"/>
    <w:rsid w:val="00E31D43"/>
    <w:rsid w:val="00E32608"/>
    <w:rsid w:val="00E32903"/>
    <w:rsid w:val="00E329CB"/>
    <w:rsid w:val="00E34188"/>
    <w:rsid w:val="00E34916"/>
    <w:rsid w:val="00E34B6E"/>
    <w:rsid w:val="00E35559"/>
    <w:rsid w:val="00E3723A"/>
    <w:rsid w:val="00E37471"/>
    <w:rsid w:val="00E37860"/>
    <w:rsid w:val="00E37CFA"/>
    <w:rsid w:val="00E44531"/>
    <w:rsid w:val="00E446F1"/>
    <w:rsid w:val="00E455C2"/>
    <w:rsid w:val="00E46886"/>
    <w:rsid w:val="00E469CE"/>
    <w:rsid w:val="00E47AEF"/>
    <w:rsid w:val="00E50DD2"/>
    <w:rsid w:val="00E50F9B"/>
    <w:rsid w:val="00E512D7"/>
    <w:rsid w:val="00E53B75"/>
    <w:rsid w:val="00E54022"/>
    <w:rsid w:val="00E54E3B"/>
    <w:rsid w:val="00E55BE1"/>
    <w:rsid w:val="00E57565"/>
    <w:rsid w:val="00E62413"/>
    <w:rsid w:val="00E63838"/>
    <w:rsid w:val="00E64434"/>
    <w:rsid w:val="00E67C51"/>
    <w:rsid w:val="00E70187"/>
    <w:rsid w:val="00E71930"/>
    <w:rsid w:val="00E72B55"/>
    <w:rsid w:val="00E72EFC"/>
    <w:rsid w:val="00E74947"/>
    <w:rsid w:val="00E749B6"/>
    <w:rsid w:val="00E758EC"/>
    <w:rsid w:val="00E776C1"/>
    <w:rsid w:val="00E8116F"/>
    <w:rsid w:val="00E81402"/>
    <w:rsid w:val="00E81647"/>
    <w:rsid w:val="00E81F2B"/>
    <w:rsid w:val="00E8234C"/>
    <w:rsid w:val="00E830A3"/>
    <w:rsid w:val="00E83AA9"/>
    <w:rsid w:val="00E85928"/>
    <w:rsid w:val="00E8710A"/>
    <w:rsid w:val="00E87822"/>
    <w:rsid w:val="00E90395"/>
    <w:rsid w:val="00E90E49"/>
    <w:rsid w:val="00E915F6"/>
    <w:rsid w:val="00E917F9"/>
    <w:rsid w:val="00E92847"/>
    <w:rsid w:val="00E9291C"/>
    <w:rsid w:val="00E9292A"/>
    <w:rsid w:val="00E93B50"/>
    <w:rsid w:val="00E93FFE"/>
    <w:rsid w:val="00E94F8A"/>
    <w:rsid w:val="00E96E13"/>
    <w:rsid w:val="00E97DE8"/>
    <w:rsid w:val="00EA3E84"/>
    <w:rsid w:val="00EA5003"/>
    <w:rsid w:val="00EA50B5"/>
    <w:rsid w:val="00EA54CD"/>
    <w:rsid w:val="00EA5DCF"/>
    <w:rsid w:val="00EA5DFD"/>
    <w:rsid w:val="00EA6C77"/>
    <w:rsid w:val="00EA7542"/>
    <w:rsid w:val="00EA77A5"/>
    <w:rsid w:val="00EA7A41"/>
    <w:rsid w:val="00EB068D"/>
    <w:rsid w:val="00EB077B"/>
    <w:rsid w:val="00EB0834"/>
    <w:rsid w:val="00EB12BC"/>
    <w:rsid w:val="00EB2A7C"/>
    <w:rsid w:val="00EB31EB"/>
    <w:rsid w:val="00EB3428"/>
    <w:rsid w:val="00EB41AE"/>
    <w:rsid w:val="00EB4EA2"/>
    <w:rsid w:val="00EB50EF"/>
    <w:rsid w:val="00EC0F31"/>
    <w:rsid w:val="00EC1D61"/>
    <w:rsid w:val="00EC24D5"/>
    <w:rsid w:val="00EC27C6"/>
    <w:rsid w:val="00EC4207"/>
    <w:rsid w:val="00EC4C7A"/>
    <w:rsid w:val="00EC4EA4"/>
    <w:rsid w:val="00EC5653"/>
    <w:rsid w:val="00EC6428"/>
    <w:rsid w:val="00EC71CE"/>
    <w:rsid w:val="00EC7D1F"/>
    <w:rsid w:val="00ED1006"/>
    <w:rsid w:val="00ED15A7"/>
    <w:rsid w:val="00ED1A26"/>
    <w:rsid w:val="00ED1EB3"/>
    <w:rsid w:val="00ED458A"/>
    <w:rsid w:val="00ED4663"/>
    <w:rsid w:val="00ED4EF4"/>
    <w:rsid w:val="00ED6160"/>
    <w:rsid w:val="00ED7F79"/>
    <w:rsid w:val="00EE08F8"/>
    <w:rsid w:val="00EE4CD7"/>
    <w:rsid w:val="00EE4F98"/>
    <w:rsid w:val="00EE63CD"/>
    <w:rsid w:val="00EE7B59"/>
    <w:rsid w:val="00EF14CC"/>
    <w:rsid w:val="00EF18FE"/>
    <w:rsid w:val="00EF3E00"/>
    <w:rsid w:val="00EF4EDA"/>
    <w:rsid w:val="00EF5787"/>
    <w:rsid w:val="00EF60D0"/>
    <w:rsid w:val="00EF793E"/>
    <w:rsid w:val="00F01FD0"/>
    <w:rsid w:val="00F0379C"/>
    <w:rsid w:val="00F03BB9"/>
    <w:rsid w:val="00F0528D"/>
    <w:rsid w:val="00F05B5D"/>
    <w:rsid w:val="00F05FCE"/>
    <w:rsid w:val="00F06C67"/>
    <w:rsid w:val="00F06DFD"/>
    <w:rsid w:val="00F071D1"/>
    <w:rsid w:val="00F07533"/>
    <w:rsid w:val="00F07E33"/>
    <w:rsid w:val="00F10629"/>
    <w:rsid w:val="00F11C75"/>
    <w:rsid w:val="00F14586"/>
    <w:rsid w:val="00F1495E"/>
    <w:rsid w:val="00F14D0B"/>
    <w:rsid w:val="00F15FA5"/>
    <w:rsid w:val="00F17B54"/>
    <w:rsid w:val="00F209B7"/>
    <w:rsid w:val="00F2376F"/>
    <w:rsid w:val="00F24396"/>
    <w:rsid w:val="00F243D8"/>
    <w:rsid w:val="00F2736B"/>
    <w:rsid w:val="00F27BEF"/>
    <w:rsid w:val="00F30828"/>
    <w:rsid w:val="00F313D6"/>
    <w:rsid w:val="00F31EB2"/>
    <w:rsid w:val="00F32EB9"/>
    <w:rsid w:val="00F33375"/>
    <w:rsid w:val="00F36485"/>
    <w:rsid w:val="00F40439"/>
    <w:rsid w:val="00F40F0C"/>
    <w:rsid w:val="00F4210A"/>
    <w:rsid w:val="00F4276D"/>
    <w:rsid w:val="00F42B13"/>
    <w:rsid w:val="00F43732"/>
    <w:rsid w:val="00F46875"/>
    <w:rsid w:val="00F47550"/>
    <w:rsid w:val="00F4766C"/>
    <w:rsid w:val="00F47C5D"/>
    <w:rsid w:val="00F5060E"/>
    <w:rsid w:val="00F507D1"/>
    <w:rsid w:val="00F519CE"/>
    <w:rsid w:val="00F51ADA"/>
    <w:rsid w:val="00F54331"/>
    <w:rsid w:val="00F57FAA"/>
    <w:rsid w:val="00F60203"/>
    <w:rsid w:val="00F607C5"/>
    <w:rsid w:val="00F60DEA"/>
    <w:rsid w:val="00F60F23"/>
    <w:rsid w:val="00F610AF"/>
    <w:rsid w:val="00F6160A"/>
    <w:rsid w:val="00F618CB"/>
    <w:rsid w:val="00F62B16"/>
    <w:rsid w:val="00F6302A"/>
    <w:rsid w:val="00F632E6"/>
    <w:rsid w:val="00F63361"/>
    <w:rsid w:val="00F63950"/>
    <w:rsid w:val="00F64C2B"/>
    <w:rsid w:val="00F651BE"/>
    <w:rsid w:val="00F67F53"/>
    <w:rsid w:val="00F703BE"/>
    <w:rsid w:val="00F71F69"/>
    <w:rsid w:val="00F72B72"/>
    <w:rsid w:val="00F74568"/>
    <w:rsid w:val="00F74BB9"/>
    <w:rsid w:val="00F75582"/>
    <w:rsid w:val="00F76BAE"/>
    <w:rsid w:val="00F76EFA"/>
    <w:rsid w:val="00F77366"/>
    <w:rsid w:val="00F804BE"/>
    <w:rsid w:val="00F817CE"/>
    <w:rsid w:val="00F82388"/>
    <w:rsid w:val="00F8456C"/>
    <w:rsid w:val="00F848D5"/>
    <w:rsid w:val="00F8564B"/>
    <w:rsid w:val="00F859D8"/>
    <w:rsid w:val="00F85DF4"/>
    <w:rsid w:val="00F868F5"/>
    <w:rsid w:val="00F87D3F"/>
    <w:rsid w:val="00F9056A"/>
    <w:rsid w:val="00F90F8D"/>
    <w:rsid w:val="00F92782"/>
    <w:rsid w:val="00F93AA9"/>
    <w:rsid w:val="00F9517A"/>
    <w:rsid w:val="00F9596A"/>
    <w:rsid w:val="00F968CC"/>
    <w:rsid w:val="00F96985"/>
    <w:rsid w:val="00F97320"/>
    <w:rsid w:val="00F97838"/>
    <w:rsid w:val="00FA0D7C"/>
    <w:rsid w:val="00FA2BB3"/>
    <w:rsid w:val="00FA5AC3"/>
    <w:rsid w:val="00FA719C"/>
    <w:rsid w:val="00FA7CF7"/>
    <w:rsid w:val="00FB0840"/>
    <w:rsid w:val="00FB0C2E"/>
    <w:rsid w:val="00FB25DC"/>
    <w:rsid w:val="00FB3AFE"/>
    <w:rsid w:val="00FB3FAF"/>
    <w:rsid w:val="00FB4C80"/>
    <w:rsid w:val="00FB4DE7"/>
    <w:rsid w:val="00FB6018"/>
    <w:rsid w:val="00FB6A6A"/>
    <w:rsid w:val="00FC1C52"/>
    <w:rsid w:val="00FC22CC"/>
    <w:rsid w:val="00FC6E72"/>
    <w:rsid w:val="00FC7429"/>
    <w:rsid w:val="00FC74A2"/>
    <w:rsid w:val="00FC7C9A"/>
    <w:rsid w:val="00FD07F6"/>
    <w:rsid w:val="00FD0939"/>
    <w:rsid w:val="00FD1EC8"/>
    <w:rsid w:val="00FD293E"/>
    <w:rsid w:val="00FD3F51"/>
    <w:rsid w:val="00FD47ED"/>
    <w:rsid w:val="00FD4F7D"/>
    <w:rsid w:val="00FD59B9"/>
    <w:rsid w:val="00FD74DB"/>
    <w:rsid w:val="00FD7660"/>
    <w:rsid w:val="00FE0655"/>
    <w:rsid w:val="00FE1201"/>
    <w:rsid w:val="00FE1315"/>
    <w:rsid w:val="00FE1FE5"/>
    <w:rsid w:val="00FE234E"/>
    <w:rsid w:val="00FE2365"/>
    <w:rsid w:val="00FE37D7"/>
    <w:rsid w:val="00FE42C1"/>
    <w:rsid w:val="00FE4C7B"/>
    <w:rsid w:val="00FE7336"/>
    <w:rsid w:val="00FE787C"/>
    <w:rsid w:val="00FF2322"/>
    <w:rsid w:val="00FF2B65"/>
    <w:rsid w:val="00FF3E13"/>
    <w:rsid w:val="00FF404B"/>
    <w:rsid w:val="00FF45A5"/>
    <w:rsid w:val="00FF475F"/>
    <w:rsid w:val="00FF5519"/>
    <w:rsid w:val="00FF5C91"/>
    <w:rsid w:val="2C1A4D7D"/>
    <w:rsid w:val="3455CBDA"/>
    <w:rsid w:val="39D5962A"/>
    <w:rsid w:val="3A1DA1D4"/>
    <w:rsid w:val="40AEA3EA"/>
    <w:rsid w:val="42E6D83A"/>
    <w:rsid w:val="506248AD"/>
    <w:rsid w:val="5108CB5D"/>
    <w:rsid w:val="5D583683"/>
    <w:rsid w:val="66CCFAE0"/>
    <w:rsid w:val="6868CB41"/>
    <w:rsid w:val="695FE833"/>
    <w:rsid w:val="713CCDA6"/>
    <w:rsid w:val="7BC0BF3C"/>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B1BE4F46-A63B-4449-A47F-A9DB8FD0E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link w:val="Heading4"/>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qFormat/>
    <w:rsid w:val="00561AF7"/>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 w:type="character" w:styleId="Mention">
    <w:name w:val="Mention"/>
    <w:basedOn w:val="DefaultParagraphFont"/>
    <w:uiPriority w:val="99"/>
    <w:unhideWhenUsed/>
    <w:rsid w:val="001B299F"/>
    <w:rPr>
      <w:color w:val="2B579A"/>
      <w:shd w:val="clear" w:color="auto" w:fill="E1DFDD"/>
    </w:rPr>
  </w:style>
  <w:style w:type="character" w:customStyle="1" w:styleId="3GPPTextChar">
    <w:name w:val="3GPP Text Char"/>
    <w:link w:val="3GPPText"/>
    <w:locked/>
    <w:rsid w:val="009E4C0D"/>
    <w:rPr>
      <w:rFonts w:ascii="Arial" w:hAnsi="Arial" w:cs="Arial"/>
      <w:sz w:val="22"/>
      <w:szCs w:val="22"/>
      <w:lang w:val="en-US"/>
    </w:rPr>
  </w:style>
  <w:style w:type="paragraph" w:customStyle="1" w:styleId="3GPPText">
    <w:name w:val="3GPP Text"/>
    <w:basedOn w:val="Normal"/>
    <w:link w:val="3GPPTextChar"/>
    <w:qFormat/>
    <w:rsid w:val="009E4C0D"/>
    <w:pPr>
      <w:overflowPunct/>
      <w:autoSpaceDE/>
      <w:autoSpaceDN/>
      <w:adjustRightInd/>
      <w:spacing w:before="120" w:after="0" w:line="256" w:lineRule="auto"/>
      <w:jc w:val="both"/>
      <w:textAlignment w:val="auto"/>
    </w:pPr>
    <w:rPr>
      <w:rFonts w:ascii="Arial" w:hAnsi="Arial" w:cs="Arial"/>
      <w:sz w:val="22"/>
      <w:szCs w:val="22"/>
      <w:lang w:val="en-US" w:eastAsia="en-GB"/>
    </w:rPr>
  </w:style>
  <w:style w:type="table" w:styleId="GridTable1Light">
    <w:name w:val="Grid Table 1 Light"/>
    <w:basedOn w:val="TableNormal"/>
    <w:uiPriority w:val="46"/>
    <w:rsid w:val="009E4C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435322008">
      <w:bodyDiv w:val="1"/>
      <w:marLeft w:val="0"/>
      <w:marRight w:val="0"/>
      <w:marTop w:val="0"/>
      <w:marBottom w:val="0"/>
      <w:divBdr>
        <w:top w:val="none" w:sz="0" w:space="0" w:color="auto"/>
        <w:left w:val="none" w:sz="0" w:space="0" w:color="auto"/>
        <w:bottom w:val="none" w:sz="0" w:space="0" w:color="auto"/>
        <w:right w:val="none" w:sz="0" w:space="0" w:color="auto"/>
      </w:divBdr>
      <w:divsChild>
        <w:div w:id="1449080980">
          <w:marLeft w:val="547"/>
          <w:marRight w:val="0"/>
          <w:marTop w:val="0"/>
          <w:marBottom w:val="0"/>
          <w:divBdr>
            <w:top w:val="none" w:sz="0" w:space="0" w:color="auto"/>
            <w:left w:val="none" w:sz="0" w:space="0" w:color="auto"/>
            <w:bottom w:val="none" w:sz="0" w:space="0" w:color="auto"/>
            <w:right w:val="none" w:sz="0" w:space="0" w:color="auto"/>
          </w:divBdr>
        </w:div>
      </w:divsChild>
    </w:div>
    <w:div w:id="508565763">
      <w:bodyDiv w:val="1"/>
      <w:marLeft w:val="0"/>
      <w:marRight w:val="0"/>
      <w:marTop w:val="0"/>
      <w:marBottom w:val="0"/>
      <w:divBdr>
        <w:top w:val="none" w:sz="0" w:space="0" w:color="auto"/>
        <w:left w:val="none" w:sz="0" w:space="0" w:color="auto"/>
        <w:bottom w:val="none" w:sz="0" w:space="0" w:color="auto"/>
        <w:right w:val="none" w:sz="0" w:space="0" w:color="auto"/>
      </w:divBdr>
      <w:divsChild>
        <w:div w:id="1393968904">
          <w:marLeft w:val="547"/>
          <w:marRight w:val="0"/>
          <w:marTop w:val="0"/>
          <w:marBottom w:val="0"/>
          <w:divBdr>
            <w:top w:val="none" w:sz="0" w:space="0" w:color="auto"/>
            <w:left w:val="none" w:sz="0" w:space="0" w:color="auto"/>
            <w:bottom w:val="none" w:sz="0" w:space="0" w:color="auto"/>
            <w:right w:val="none" w:sz="0" w:space="0" w:color="auto"/>
          </w:divBdr>
        </w:div>
      </w:divsChild>
    </w:div>
    <w:div w:id="524830980">
      <w:bodyDiv w:val="1"/>
      <w:marLeft w:val="0"/>
      <w:marRight w:val="0"/>
      <w:marTop w:val="0"/>
      <w:marBottom w:val="0"/>
      <w:divBdr>
        <w:top w:val="none" w:sz="0" w:space="0" w:color="auto"/>
        <w:left w:val="none" w:sz="0" w:space="0" w:color="auto"/>
        <w:bottom w:val="none" w:sz="0" w:space="0" w:color="auto"/>
        <w:right w:val="none" w:sz="0" w:space="0" w:color="auto"/>
      </w:divBdr>
      <w:divsChild>
        <w:div w:id="346713777">
          <w:marLeft w:val="547"/>
          <w:marRight w:val="0"/>
          <w:marTop w:val="0"/>
          <w:marBottom w:val="0"/>
          <w:divBdr>
            <w:top w:val="none" w:sz="0" w:space="0" w:color="auto"/>
            <w:left w:val="none" w:sz="0" w:space="0" w:color="auto"/>
            <w:bottom w:val="none" w:sz="0" w:space="0" w:color="auto"/>
            <w:right w:val="none" w:sz="0" w:space="0" w:color="auto"/>
          </w:divBdr>
        </w:div>
      </w:divsChild>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894698367">
      <w:bodyDiv w:val="1"/>
      <w:marLeft w:val="0"/>
      <w:marRight w:val="0"/>
      <w:marTop w:val="0"/>
      <w:marBottom w:val="0"/>
      <w:divBdr>
        <w:top w:val="none" w:sz="0" w:space="0" w:color="auto"/>
        <w:left w:val="none" w:sz="0" w:space="0" w:color="auto"/>
        <w:bottom w:val="none" w:sz="0" w:space="0" w:color="auto"/>
        <w:right w:val="none" w:sz="0" w:space="0" w:color="auto"/>
      </w:divBdr>
      <w:divsChild>
        <w:div w:id="1819614555">
          <w:marLeft w:val="547"/>
          <w:marRight w:val="0"/>
          <w:marTop w:val="0"/>
          <w:marBottom w:val="0"/>
          <w:divBdr>
            <w:top w:val="none" w:sz="0" w:space="0" w:color="auto"/>
            <w:left w:val="none" w:sz="0" w:space="0" w:color="auto"/>
            <w:bottom w:val="none" w:sz="0" w:space="0" w:color="auto"/>
            <w:right w:val="none" w:sz="0" w:space="0" w:color="auto"/>
          </w:divBdr>
        </w:div>
      </w:divsChild>
    </w:div>
    <w:div w:id="1077895298">
      <w:bodyDiv w:val="1"/>
      <w:marLeft w:val="0"/>
      <w:marRight w:val="0"/>
      <w:marTop w:val="0"/>
      <w:marBottom w:val="0"/>
      <w:divBdr>
        <w:top w:val="none" w:sz="0" w:space="0" w:color="auto"/>
        <w:left w:val="none" w:sz="0" w:space="0" w:color="auto"/>
        <w:bottom w:val="none" w:sz="0" w:space="0" w:color="auto"/>
        <w:right w:val="none" w:sz="0" w:space="0" w:color="auto"/>
      </w:divBdr>
      <w:divsChild>
        <w:div w:id="1481577792">
          <w:marLeft w:val="547"/>
          <w:marRight w:val="0"/>
          <w:marTop w:val="0"/>
          <w:marBottom w:val="0"/>
          <w:divBdr>
            <w:top w:val="none" w:sz="0" w:space="0" w:color="auto"/>
            <w:left w:val="none" w:sz="0" w:space="0" w:color="auto"/>
            <w:bottom w:val="none" w:sz="0" w:space="0" w:color="auto"/>
            <w:right w:val="none" w:sz="0" w:space="0" w:color="auto"/>
          </w:divBdr>
        </w:div>
      </w:divsChild>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1274510610">
      <w:bodyDiv w:val="1"/>
      <w:marLeft w:val="0"/>
      <w:marRight w:val="0"/>
      <w:marTop w:val="0"/>
      <w:marBottom w:val="0"/>
      <w:divBdr>
        <w:top w:val="none" w:sz="0" w:space="0" w:color="auto"/>
        <w:left w:val="none" w:sz="0" w:space="0" w:color="auto"/>
        <w:bottom w:val="none" w:sz="0" w:space="0" w:color="auto"/>
        <w:right w:val="none" w:sz="0" w:space="0" w:color="auto"/>
      </w:divBdr>
      <w:divsChild>
        <w:div w:id="1338774281">
          <w:marLeft w:val="547"/>
          <w:marRight w:val="0"/>
          <w:marTop w:val="0"/>
          <w:marBottom w:val="0"/>
          <w:divBdr>
            <w:top w:val="none" w:sz="0" w:space="0" w:color="auto"/>
            <w:left w:val="none" w:sz="0" w:space="0" w:color="auto"/>
            <w:bottom w:val="none" w:sz="0" w:space="0" w:color="auto"/>
            <w:right w:val="none" w:sz="0" w:space="0" w:color="auto"/>
          </w:divBdr>
        </w:div>
      </w:divsChild>
    </w:div>
    <w:div w:id="1568607219">
      <w:bodyDiv w:val="1"/>
      <w:marLeft w:val="0"/>
      <w:marRight w:val="0"/>
      <w:marTop w:val="0"/>
      <w:marBottom w:val="0"/>
      <w:divBdr>
        <w:top w:val="none" w:sz="0" w:space="0" w:color="auto"/>
        <w:left w:val="none" w:sz="0" w:space="0" w:color="auto"/>
        <w:bottom w:val="none" w:sz="0" w:space="0" w:color="auto"/>
        <w:right w:val="none" w:sz="0" w:space="0" w:color="auto"/>
      </w:divBdr>
      <w:divsChild>
        <w:div w:id="1335954282">
          <w:marLeft w:val="547"/>
          <w:marRight w:val="0"/>
          <w:marTop w:val="0"/>
          <w:marBottom w:val="0"/>
          <w:divBdr>
            <w:top w:val="none" w:sz="0" w:space="0" w:color="auto"/>
            <w:left w:val="none" w:sz="0" w:space="0" w:color="auto"/>
            <w:bottom w:val="none" w:sz="0" w:space="0" w:color="auto"/>
            <w:right w:val="none" w:sz="0" w:space="0" w:color="auto"/>
          </w:divBdr>
        </w:div>
      </w:divsChild>
    </w:div>
    <w:div w:id="1640720397">
      <w:bodyDiv w:val="1"/>
      <w:marLeft w:val="0"/>
      <w:marRight w:val="0"/>
      <w:marTop w:val="0"/>
      <w:marBottom w:val="0"/>
      <w:divBdr>
        <w:top w:val="none" w:sz="0" w:space="0" w:color="auto"/>
        <w:left w:val="none" w:sz="0" w:space="0" w:color="auto"/>
        <w:bottom w:val="none" w:sz="0" w:space="0" w:color="auto"/>
        <w:right w:val="none" w:sz="0" w:space="0" w:color="auto"/>
      </w:divBdr>
      <w:divsChild>
        <w:div w:id="2106536229">
          <w:marLeft w:val="547"/>
          <w:marRight w:val="0"/>
          <w:marTop w:val="0"/>
          <w:marBottom w:val="0"/>
          <w:divBdr>
            <w:top w:val="none" w:sz="0" w:space="0" w:color="auto"/>
            <w:left w:val="none" w:sz="0" w:space="0" w:color="auto"/>
            <w:bottom w:val="none" w:sz="0" w:space="0" w:color="auto"/>
            <w:right w:val="none" w:sz="0" w:space="0" w:color="auto"/>
          </w:divBdr>
        </w:div>
      </w:divsChild>
    </w:div>
    <w:div w:id="1680544947">
      <w:bodyDiv w:val="1"/>
      <w:marLeft w:val="0"/>
      <w:marRight w:val="0"/>
      <w:marTop w:val="0"/>
      <w:marBottom w:val="0"/>
      <w:divBdr>
        <w:top w:val="none" w:sz="0" w:space="0" w:color="auto"/>
        <w:left w:val="none" w:sz="0" w:space="0" w:color="auto"/>
        <w:bottom w:val="none" w:sz="0" w:space="0" w:color="auto"/>
        <w:right w:val="none" w:sz="0" w:space="0" w:color="auto"/>
      </w:divBdr>
      <w:divsChild>
        <w:div w:id="1201555864">
          <w:marLeft w:val="547"/>
          <w:marRight w:val="0"/>
          <w:marTop w:val="0"/>
          <w:marBottom w:val="0"/>
          <w:divBdr>
            <w:top w:val="none" w:sz="0" w:space="0" w:color="auto"/>
            <w:left w:val="none" w:sz="0" w:space="0" w:color="auto"/>
            <w:bottom w:val="none" w:sz="0" w:space="0" w:color="auto"/>
            <w:right w:val="none" w:sz="0" w:space="0" w:color="auto"/>
          </w:divBdr>
        </w:div>
      </w:divsChild>
    </w:div>
    <w:div w:id="1870801972">
      <w:bodyDiv w:val="1"/>
      <w:marLeft w:val="0"/>
      <w:marRight w:val="0"/>
      <w:marTop w:val="0"/>
      <w:marBottom w:val="0"/>
      <w:divBdr>
        <w:top w:val="none" w:sz="0" w:space="0" w:color="auto"/>
        <w:left w:val="none" w:sz="0" w:space="0" w:color="auto"/>
        <w:bottom w:val="none" w:sz="0" w:space="0" w:color="auto"/>
        <w:right w:val="none" w:sz="0" w:space="0" w:color="auto"/>
      </w:divBdr>
      <w:divsChild>
        <w:div w:id="569972477">
          <w:marLeft w:val="547"/>
          <w:marRight w:val="0"/>
          <w:marTop w:val="0"/>
          <w:marBottom w:val="0"/>
          <w:divBdr>
            <w:top w:val="none" w:sz="0" w:space="0" w:color="auto"/>
            <w:left w:val="none" w:sz="0" w:space="0" w:color="auto"/>
            <w:bottom w:val="none" w:sz="0" w:space="0" w:color="auto"/>
            <w:right w:val="none" w:sz="0" w:space="0" w:color="auto"/>
          </w:divBdr>
        </w:div>
      </w:divsChild>
    </w:div>
    <w:div w:id="1938832235">
      <w:bodyDiv w:val="1"/>
      <w:marLeft w:val="0"/>
      <w:marRight w:val="0"/>
      <w:marTop w:val="0"/>
      <w:marBottom w:val="0"/>
      <w:divBdr>
        <w:top w:val="none" w:sz="0" w:space="0" w:color="auto"/>
        <w:left w:val="none" w:sz="0" w:space="0" w:color="auto"/>
        <w:bottom w:val="none" w:sz="0" w:space="0" w:color="auto"/>
        <w:right w:val="none" w:sz="0" w:space="0" w:color="auto"/>
      </w:divBdr>
      <w:divsChild>
        <w:div w:id="977490973">
          <w:marLeft w:val="547"/>
          <w:marRight w:val="0"/>
          <w:marTop w:val="0"/>
          <w:marBottom w:val="0"/>
          <w:divBdr>
            <w:top w:val="none" w:sz="0" w:space="0" w:color="auto"/>
            <w:left w:val="none" w:sz="0" w:space="0" w:color="auto"/>
            <w:bottom w:val="none" w:sz="0" w:space="0" w:color="auto"/>
            <w:right w:val="none" w:sz="0" w:space="0" w:color="auto"/>
          </w:divBdr>
        </w:div>
      </w:divsChild>
    </w:div>
    <w:div w:id="1956785494">
      <w:bodyDiv w:val="1"/>
      <w:marLeft w:val="0"/>
      <w:marRight w:val="0"/>
      <w:marTop w:val="0"/>
      <w:marBottom w:val="0"/>
      <w:divBdr>
        <w:top w:val="none" w:sz="0" w:space="0" w:color="auto"/>
        <w:left w:val="none" w:sz="0" w:space="0" w:color="auto"/>
        <w:bottom w:val="none" w:sz="0" w:space="0" w:color="auto"/>
        <w:right w:val="none" w:sz="0" w:space="0" w:color="auto"/>
      </w:divBdr>
      <w:divsChild>
        <w:div w:id="432089194">
          <w:marLeft w:val="547"/>
          <w:marRight w:val="0"/>
          <w:marTop w:val="0"/>
          <w:marBottom w:val="0"/>
          <w:divBdr>
            <w:top w:val="none" w:sz="0" w:space="0" w:color="auto"/>
            <w:left w:val="none" w:sz="0" w:space="0" w:color="auto"/>
            <w:bottom w:val="none" w:sz="0" w:space="0" w:color="auto"/>
            <w:right w:val="none" w:sz="0" w:space="0" w:color="auto"/>
          </w:divBdr>
        </w:div>
      </w:divsChild>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5" Type="http://schemas.openxmlformats.org/officeDocument/2006/relationships/numbering" Target="numbering.xml"/><Relationship Id="rId15" Type="http://schemas.microsoft.com/office/2007/relationships/diagramDrawing" Target="diagrams/drawing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0C3A106-93BE-A841-B7E0-B2245C1E3436}" type="doc">
      <dgm:prSet loTypeId="urn:microsoft.com/office/officeart/2005/8/layout/hierarchy2" loCatId="" qsTypeId="urn:microsoft.com/office/officeart/2005/8/quickstyle/simple1" qsCatId="simple" csTypeId="urn:microsoft.com/office/officeart/2005/8/colors/accent1_2" csCatId="accent1" phldr="1"/>
      <dgm:spPr/>
      <dgm:t>
        <a:bodyPr/>
        <a:lstStyle/>
        <a:p>
          <a:endParaRPr lang="en-GB"/>
        </a:p>
      </dgm:t>
    </dgm:pt>
    <dgm:pt modelId="{7D14CD41-EF81-1647-8810-E70DC79B622F}">
      <dgm:prSet phldrT="[Text]"/>
      <dgm:spPr>
        <a:solidFill>
          <a:schemeClr val="accent4"/>
        </a:solidFill>
      </dgm:spPr>
      <dgm:t>
        <a:bodyPr/>
        <a:lstStyle/>
        <a:p>
          <a:r>
            <a:rPr lang="en-GB"/>
            <a:t>Release LTM Candidate Configuration(s)</a:t>
          </a:r>
        </a:p>
      </dgm:t>
    </dgm:pt>
    <dgm:pt modelId="{E85A21BE-B8A1-2E4F-849F-0AB33DEE2BBF}" type="parTrans" cxnId="{C0227722-325F-A745-9162-00805E1F3C98}">
      <dgm:prSet/>
      <dgm:spPr/>
      <dgm:t>
        <a:bodyPr/>
        <a:lstStyle/>
        <a:p>
          <a:endParaRPr lang="en-GB"/>
        </a:p>
      </dgm:t>
    </dgm:pt>
    <dgm:pt modelId="{E663FF81-CF1E-894B-AF70-327413DCC6F9}" type="sibTrans" cxnId="{C0227722-325F-A745-9162-00805E1F3C98}">
      <dgm:prSet/>
      <dgm:spPr/>
      <dgm:t>
        <a:bodyPr/>
        <a:lstStyle/>
        <a:p>
          <a:endParaRPr lang="en-GB"/>
        </a:p>
      </dgm:t>
    </dgm:pt>
    <dgm:pt modelId="{5315F604-BB4D-774F-9754-BB76854FCA22}">
      <dgm:prSet phldrT="[Text]"/>
      <dgm:spPr>
        <a:solidFill>
          <a:schemeClr val="bg1">
            <a:lumMod val="75000"/>
          </a:schemeClr>
        </a:solidFill>
      </dgm:spPr>
      <dgm:t>
        <a:bodyPr/>
        <a:lstStyle/>
        <a:p>
          <a:r>
            <a:rPr lang="en-US" b="0"/>
            <a:t>Beam of candidate cell becomes worse than absolute threshold</a:t>
          </a:r>
          <a:endParaRPr lang="en-GB"/>
        </a:p>
      </dgm:t>
    </dgm:pt>
    <dgm:pt modelId="{7D0268D2-DEDE-D941-94CB-BFA3D5334996}" type="parTrans" cxnId="{F1D28575-3F54-3246-B1FE-FDFC969C668B}">
      <dgm:prSet/>
      <dgm:spPr/>
      <dgm:t>
        <a:bodyPr/>
        <a:lstStyle/>
        <a:p>
          <a:endParaRPr lang="en-GB"/>
        </a:p>
      </dgm:t>
    </dgm:pt>
    <dgm:pt modelId="{5F13D3E1-5FC8-8847-9BC7-385EED83FF94}" type="sibTrans" cxnId="{F1D28575-3F54-3246-B1FE-FDFC969C668B}">
      <dgm:prSet/>
      <dgm:spPr/>
      <dgm:t>
        <a:bodyPr/>
        <a:lstStyle/>
        <a:p>
          <a:endParaRPr lang="en-GB"/>
        </a:p>
      </dgm:t>
    </dgm:pt>
    <dgm:pt modelId="{6C2A3F84-6A4B-934C-B3E6-69AB0E95995E}">
      <dgm:prSet phldrT="[Text]"/>
      <dgm:spPr>
        <a:solidFill>
          <a:schemeClr val="accent4"/>
        </a:solidFill>
      </dgm:spPr>
      <dgm:t>
        <a:bodyPr/>
        <a:lstStyle/>
        <a:p>
          <a:r>
            <a:rPr lang="en-GB"/>
            <a:t>Early Sync management of LTM candidate cells</a:t>
          </a:r>
        </a:p>
      </dgm:t>
    </dgm:pt>
    <dgm:pt modelId="{2223E973-51EB-4149-945E-D3541C4BC35E}" type="parTrans" cxnId="{F4953AA3-E0C6-7540-8A66-5C46C60E435C}">
      <dgm:prSet/>
      <dgm:spPr/>
      <dgm:t>
        <a:bodyPr/>
        <a:lstStyle/>
        <a:p>
          <a:endParaRPr lang="en-GB"/>
        </a:p>
      </dgm:t>
    </dgm:pt>
    <dgm:pt modelId="{1D884D55-BE93-6F4B-A018-0B5D64F2734C}" type="sibTrans" cxnId="{F4953AA3-E0C6-7540-8A66-5C46C60E435C}">
      <dgm:prSet/>
      <dgm:spPr/>
      <dgm:t>
        <a:bodyPr/>
        <a:lstStyle/>
        <a:p>
          <a:endParaRPr lang="en-GB"/>
        </a:p>
      </dgm:t>
    </dgm:pt>
    <dgm:pt modelId="{92E6B061-E8EA-684C-AF54-1526A6647AC8}">
      <dgm:prSet phldrT="[Text]"/>
      <dgm:spPr>
        <a:solidFill>
          <a:schemeClr val="accent4"/>
        </a:solidFill>
      </dgm:spPr>
      <dgm:t>
        <a:bodyPr/>
        <a:lstStyle/>
        <a:p>
          <a:r>
            <a:rPr lang="en-US"/>
            <a:t>Beam of candidate cell becomes offset worse than beam of serving cell</a:t>
          </a:r>
          <a:endParaRPr lang="en-GB"/>
        </a:p>
      </dgm:t>
    </dgm:pt>
    <dgm:pt modelId="{041BDC82-57E8-8748-8052-A74A51E91B06}" type="parTrans" cxnId="{E33B700D-A898-6A4E-85C2-8475D88BE633}">
      <dgm:prSet/>
      <dgm:spPr/>
      <dgm:t>
        <a:bodyPr/>
        <a:lstStyle/>
        <a:p>
          <a:endParaRPr lang="en-GB"/>
        </a:p>
      </dgm:t>
    </dgm:pt>
    <dgm:pt modelId="{A3A63288-50CA-D54E-8F0C-4CADCB706FAD}" type="sibTrans" cxnId="{E33B700D-A898-6A4E-85C2-8475D88BE633}">
      <dgm:prSet/>
      <dgm:spPr/>
      <dgm:t>
        <a:bodyPr/>
        <a:lstStyle/>
        <a:p>
          <a:endParaRPr lang="en-GB"/>
        </a:p>
      </dgm:t>
    </dgm:pt>
    <dgm:pt modelId="{92214F8A-2803-CE44-9295-FA685294921D}">
      <dgm:prSet phldrT="[Text]"/>
      <dgm:spPr>
        <a:solidFill>
          <a:schemeClr val="accent6"/>
        </a:solidFill>
      </dgm:spPr>
      <dgm:t>
        <a:bodyPr/>
        <a:lstStyle/>
        <a:p>
          <a:r>
            <a:rPr lang="en-US"/>
            <a:t>Select the target beam/cell and trigger LTM cell switch procedure.</a:t>
          </a:r>
          <a:endParaRPr lang="en-GB"/>
        </a:p>
      </dgm:t>
    </dgm:pt>
    <dgm:pt modelId="{8C6A16CB-C48A-E848-BDE4-F0FA41B1DE00}" type="parTrans" cxnId="{5D6B8BCE-0983-1F4C-B0C9-D9B622ACE0E2}">
      <dgm:prSet/>
      <dgm:spPr/>
      <dgm:t>
        <a:bodyPr/>
        <a:lstStyle/>
        <a:p>
          <a:endParaRPr lang="en-GB"/>
        </a:p>
      </dgm:t>
    </dgm:pt>
    <dgm:pt modelId="{2552DCE3-C53C-FF4D-935F-CB49FBFDC98F}" type="sibTrans" cxnId="{5D6B8BCE-0983-1F4C-B0C9-D9B622ACE0E2}">
      <dgm:prSet/>
      <dgm:spPr/>
      <dgm:t>
        <a:bodyPr/>
        <a:lstStyle/>
        <a:p>
          <a:endParaRPr lang="en-GB"/>
        </a:p>
      </dgm:t>
    </dgm:pt>
    <dgm:pt modelId="{0F323BD9-DE09-264B-AC5E-3816BC6C86D5}">
      <dgm:prSet phldrT="[Text]"/>
      <dgm:spPr>
        <a:solidFill>
          <a:schemeClr val="accent6"/>
        </a:solidFill>
      </dgm:spPr>
      <dgm:t>
        <a:bodyPr/>
        <a:lstStyle/>
        <a:p>
          <a:r>
            <a:rPr lang="en-GB"/>
            <a:t>LTM2: Beam of serving cell becomes worse than absolute threshold</a:t>
          </a:r>
        </a:p>
      </dgm:t>
    </dgm:pt>
    <dgm:pt modelId="{85363616-E705-BB42-91F4-F41682903BA8}" type="parTrans" cxnId="{08E64E5F-E138-9645-87AD-8C47C97D5E0A}">
      <dgm:prSet/>
      <dgm:spPr/>
      <dgm:t>
        <a:bodyPr/>
        <a:lstStyle/>
        <a:p>
          <a:endParaRPr lang="en-GB"/>
        </a:p>
      </dgm:t>
    </dgm:pt>
    <dgm:pt modelId="{5D7CE05A-7AEF-0944-AD7C-DA6AAC369B3A}" type="sibTrans" cxnId="{08E64E5F-E138-9645-87AD-8C47C97D5E0A}">
      <dgm:prSet/>
      <dgm:spPr/>
      <dgm:t>
        <a:bodyPr/>
        <a:lstStyle/>
        <a:p>
          <a:endParaRPr lang="en-GB"/>
        </a:p>
      </dgm:t>
    </dgm:pt>
    <dgm:pt modelId="{98F77323-BCFF-CA44-8E2E-A63A9C7BA23E}">
      <dgm:prSet phldrT="[Text]"/>
      <dgm:spPr>
        <a:solidFill>
          <a:schemeClr val="accent6"/>
        </a:solidFill>
      </dgm:spPr>
      <dgm:t>
        <a:bodyPr/>
        <a:lstStyle/>
        <a:p>
          <a:r>
            <a:rPr lang="en-GB"/>
            <a:t>LTM3: Beam of candidate cell becomes offset better than beam of serving cell</a:t>
          </a:r>
        </a:p>
      </dgm:t>
    </dgm:pt>
    <dgm:pt modelId="{7E00613C-BEEE-FB48-9735-DB92B0B4D50E}" type="parTrans" cxnId="{5D72EDF2-F8A0-9444-B46C-927F78EF1779}">
      <dgm:prSet/>
      <dgm:spPr/>
      <dgm:t>
        <a:bodyPr/>
        <a:lstStyle/>
        <a:p>
          <a:endParaRPr lang="en-GB"/>
        </a:p>
      </dgm:t>
    </dgm:pt>
    <dgm:pt modelId="{4FE9F4C8-B435-7C45-8978-CB6272F01099}" type="sibTrans" cxnId="{5D72EDF2-F8A0-9444-B46C-927F78EF1779}">
      <dgm:prSet/>
      <dgm:spPr/>
      <dgm:t>
        <a:bodyPr/>
        <a:lstStyle/>
        <a:p>
          <a:endParaRPr lang="en-GB"/>
        </a:p>
      </dgm:t>
    </dgm:pt>
    <dgm:pt modelId="{D6BDF051-BB1F-3145-9403-A6C1E51A6A2B}">
      <dgm:prSet phldrT="[Text]"/>
      <dgm:spPr>
        <a:solidFill>
          <a:schemeClr val="accent6"/>
        </a:solidFill>
      </dgm:spPr>
      <dgm:t>
        <a:bodyPr/>
        <a:lstStyle/>
        <a:p>
          <a:r>
            <a:rPr lang="en-US"/>
            <a:t>LTM4: Beam of candidate cell becomes better than absolute threshold</a:t>
          </a:r>
          <a:endParaRPr lang="en-GB"/>
        </a:p>
      </dgm:t>
    </dgm:pt>
    <dgm:pt modelId="{7E49192B-4803-5D45-8AC2-2ACB56BEDBC5}" type="parTrans" cxnId="{BA07F4B5-0C95-7047-A8B4-4150A9FAC080}">
      <dgm:prSet/>
      <dgm:spPr/>
      <dgm:t>
        <a:bodyPr/>
        <a:lstStyle/>
        <a:p>
          <a:endParaRPr lang="en-GB"/>
        </a:p>
      </dgm:t>
    </dgm:pt>
    <dgm:pt modelId="{90F3DE81-6805-CC4C-BC98-EE9C805A76F6}" type="sibTrans" cxnId="{BA07F4B5-0C95-7047-A8B4-4150A9FAC080}">
      <dgm:prSet/>
      <dgm:spPr/>
      <dgm:t>
        <a:bodyPr/>
        <a:lstStyle/>
        <a:p>
          <a:endParaRPr lang="en-GB"/>
        </a:p>
      </dgm:t>
    </dgm:pt>
    <dgm:pt modelId="{2FDBD560-3F75-3941-8F01-1AF253B32018}">
      <dgm:prSet phldrT="[Text]" custT="1"/>
      <dgm:spPr>
        <a:solidFill>
          <a:schemeClr val="accent6"/>
        </a:solidFill>
      </dgm:spPr>
      <dgm:t>
        <a:bodyPr/>
        <a:lstStyle/>
        <a:p>
          <a:r>
            <a:rPr lang="en-US" sz="600"/>
            <a:t>LTM5: Beam of serving cell becomes worse than absolute threshold1 AND Beam of candidate cell becomes better than </a:t>
          </a:r>
          <a:r>
            <a:rPr lang="en-US" sz="500"/>
            <a:t>another absolute threshold2</a:t>
          </a:r>
          <a:endParaRPr lang="en-GB" sz="500"/>
        </a:p>
      </dgm:t>
    </dgm:pt>
    <dgm:pt modelId="{91912CA5-FFA9-454A-AB1F-144B8DF79129}" type="parTrans" cxnId="{267AC66D-E5FF-F044-B8AD-BCC8D2242B6C}">
      <dgm:prSet/>
      <dgm:spPr/>
      <dgm:t>
        <a:bodyPr/>
        <a:lstStyle/>
        <a:p>
          <a:endParaRPr lang="en-GB"/>
        </a:p>
      </dgm:t>
    </dgm:pt>
    <dgm:pt modelId="{5FB5BBF7-ACE6-024C-AB90-D40806D2C432}" type="sibTrans" cxnId="{267AC66D-E5FF-F044-B8AD-BCC8D2242B6C}">
      <dgm:prSet/>
      <dgm:spPr/>
      <dgm:t>
        <a:bodyPr/>
        <a:lstStyle/>
        <a:p>
          <a:endParaRPr lang="en-GB"/>
        </a:p>
      </dgm:t>
    </dgm:pt>
    <dgm:pt modelId="{5467C867-C677-064B-8B86-E08D14551B49}">
      <dgm:prSet phldrT="[Text]"/>
      <dgm:spPr>
        <a:solidFill>
          <a:schemeClr val="accent6"/>
        </a:solidFill>
      </dgm:spPr>
      <dgm:t>
        <a:bodyPr/>
        <a:lstStyle/>
        <a:p>
          <a:r>
            <a:rPr lang="en-US"/>
            <a:t>Select the candidate beam/cell to trigger early synchronization</a:t>
          </a:r>
          <a:endParaRPr lang="en-GB"/>
        </a:p>
      </dgm:t>
    </dgm:pt>
    <dgm:pt modelId="{E70BDB16-09FF-F143-B87A-18CFD9B44C90}" type="parTrans" cxnId="{DD2C7895-84D0-2D43-83A6-3E6C1087096C}">
      <dgm:prSet/>
      <dgm:spPr/>
      <dgm:t>
        <a:bodyPr/>
        <a:lstStyle/>
        <a:p>
          <a:endParaRPr lang="en-GB"/>
        </a:p>
      </dgm:t>
    </dgm:pt>
    <dgm:pt modelId="{F1304D58-3328-9B45-9A9D-82E7FC3F1957}" type="sibTrans" cxnId="{DD2C7895-84D0-2D43-83A6-3E6C1087096C}">
      <dgm:prSet/>
      <dgm:spPr/>
      <dgm:t>
        <a:bodyPr/>
        <a:lstStyle/>
        <a:p>
          <a:endParaRPr lang="en-GB"/>
        </a:p>
      </dgm:t>
    </dgm:pt>
    <dgm:pt modelId="{F12979AC-6CA2-6B45-91F5-A5420368FE9C}">
      <dgm:prSet phldrT="[Text]"/>
      <dgm:spPr>
        <a:solidFill>
          <a:schemeClr val="accent4"/>
        </a:solidFill>
      </dgm:spPr>
      <dgm:t>
        <a:bodyPr/>
        <a:lstStyle/>
        <a:p>
          <a:r>
            <a:rPr lang="en-US"/>
            <a:t>Beam of serving cell becomes better than absolute threshold</a:t>
          </a:r>
          <a:endParaRPr lang="en-GB"/>
        </a:p>
      </dgm:t>
    </dgm:pt>
    <dgm:pt modelId="{242F04C7-07D5-A447-91BB-ED5229EFDE35}" type="parTrans" cxnId="{F934E2B1-F559-DF4B-B0D2-D860AED84AC6}">
      <dgm:prSet/>
      <dgm:spPr/>
      <dgm:t>
        <a:bodyPr/>
        <a:lstStyle/>
        <a:p>
          <a:endParaRPr lang="en-GB"/>
        </a:p>
      </dgm:t>
    </dgm:pt>
    <dgm:pt modelId="{093C84C5-4430-D74D-9496-8B175D2E32CD}" type="sibTrans" cxnId="{F934E2B1-F559-DF4B-B0D2-D860AED84AC6}">
      <dgm:prSet/>
      <dgm:spPr/>
      <dgm:t>
        <a:bodyPr/>
        <a:lstStyle/>
        <a:p>
          <a:endParaRPr lang="en-GB"/>
        </a:p>
      </dgm:t>
    </dgm:pt>
    <dgm:pt modelId="{2850FD30-EA5D-414B-AE7E-C8E03E8DAC8D}">
      <dgm:prSet phldrT="[Text]"/>
      <dgm:spPr>
        <a:solidFill>
          <a:schemeClr val="accent4"/>
        </a:solidFill>
      </dgm:spPr>
      <dgm:t>
        <a:bodyPr/>
        <a:lstStyle/>
        <a:p>
          <a:r>
            <a:rPr lang="en-US"/>
            <a:t>Beam of candidate cell becomes offset better than pre-activated beam of candidate cell</a:t>
          </a:r>
          <a:endParaRPr lang="en-GB"/>
        </a:p>
      </dgm:t>
    </dgm:pt>
    <dgm:pt modelId="{E4AA0A80-C827-3141-B2EE-32E29C2D36AF}" type="parTrans" cxnId="{BE7ACC5C-BB79-794D-9EDD-0617BE391A6F}">
      <dgm:prSet/>
      <dgm:spPr/>
      <dgm:t>
        <a:bodyPr/>
        <a:lstStyle/>
        <a:p>
          <a:endParaRPr lang="en-GB"/>
        </a:p>
      </dgm:t>
    </dgm:pt>
    <dgm:pt modelId="{0F32D4E7-0FAE-5549-97FC-C8518AB5A475}" type="sibTrans" cxnId="{BE7ACC5C-BB79-794D-9EDD-0617BE391A6F}">
      <dgm:prSet/>
      <dgm:spPr/>
      <dgm:t>
        <a:bodyPr/>
        <a:lstStyle/>
        <a:p>
          <a:endParaRPr lang="en-GB"/>
        </a:p>
      </dgm:t>
    </dgm:pt>
    <dgm:pt modelId="{51117E64-3ED3-C049-AA46-0099B8D3E193}" type="pres">
      <dgm:prSet presAssocID="{E0C3A106-93BE-A841-B7E0-B2245C1E3436}" presName="diagram" presStyleCnt="0">
        <dgm:presLayoutVars>
          <dgm:chPref val="1"/>
          <dgm:dir/>
          <dgm:animOne val="branch"/>
          <dgm:animLvl val="lvl"/>
          <dgm:resizeHandles val="exact"/>
        </dgm:presLayoutVars>
      </dgm:prSet>
      <dgm:spPr/>
    </dgm:pt>
    <dgm:pt modelId="{E3AD92C1-1AD0-F642-A51B-5D6EEF792040}" type="pres">
      <dgm:prSet presAssocID="{5467C867-C677-064B-8B86-E08D14551B49}" presName="root1" presStyleCnt="0"/>
      <dgm:spPr/>
    </dgm:pt>
    <dgm:pt modelId="{C9BF630A-BF45-A947-B530-ABAD107E1CB3}" type="pres">
      <dgm:prSet presAssocID="{5467C867-C677-064B-8B86-E08D14551B49}" presName="LevelOneTextNode" presStyleLbl="node0" presStyleIdx="0" presStyleCnt="4">
        <dgm:presLayoutVars>
          <dgm:chPref val="3"/>
        </dgm:presLayoutVars>
      </dgm:prSet>
      <dgm:spPr/>
    </dgm:pt>
    <dgm:pt modelId="{89A0D76E-C77A-C048-A483-DADADDD382C3}" type="pres">
      <dgm:prSet presAssocID="{5467C867-C677-064B-8B86-E08D14551B49}" presName="level2hierChild" presStyleCnt="0"/>
      <dgm:spPr/>
    </dgm:pt>
    <dgm:pt modelId="{96296739-ABC5-EE42-9183-5EE6E970EBB7}" type="pres">
      <dgm:prSet presAssocID="{7E49192B-4803-5D45-8AC2-2ACB56BEDBC5}" presName="conn2-1" presStyleLbl="parChTrans1D2" presStyleIdx="0" presStyleCnt="8"/>
      <dgm:spPr/>
    </dgm:pt>
    <dgm:pt modelId="{806C7575-51D2-674D-974C-8F4C00530261}" type="pres">
      <dgm:prSet presAssocID="{7E49192B-4803-5D45-8AC2-2ACB56BEDBC5}" presName="connTx" presStyleLbl="parChTrans1D2" presStyleIdx="0" presStyleCnt="8"/>
      <dgm:spPr/>
    </dgm:pt>
    <dgm:pt modelId="{EF330BA7-C813-874C-B621-BEC8B188C58C}" type="pres">
      <dgm:prSet presAssocID="{D6BDF051-BB1F-3145-9403-A6C1E51A6A2B}" presName="root2" presStyleCnt="0"/>
      <dgm:spPr/>
    </dgm:pt>
    <dgm:pt modelId="{F0CA4D43-8547-164C-B7ED-3EDA8A6B9136}" type="pres">
      <dgm:prSet presAssocID="{D6BDF051-BB1F-3145-9403-A6C1E51A6A2B}" presName="LevelTwoTextNode" presStyleLbl="node2" presStyleIdx="0" presStyleCnt="8">
        <dgm:presLayoutVars>
          <dgm:chPref val="3"/>
        </dgm:presLayoutVars>
      </dgm:prSet>
      <dgm:spPr/>
    </dgm:pt>
    <dgm:pt modelId="{03AEEFFA-5CBC-9046-A600-FFA001CAA526}" type="pres">
      <dgm:prSet presAssocID="{D6BDF051-BB1F-3145-9403-A6C1E51A6A2B}" presName="level3hierChild" presStyleCnt="0"/>
      <dgm:spPr/>
    </dgm:pt>
    <dgm:pt modelId="{B32741A9-F73E-EB41-896E-1EEA7DC319C6}" type="pres">
      <dgm:prSet presAssocID="{92214F8A-2803-CE44-9295-FA685294921D}" presName="root1" presStyleCnt="0"/>
      <dgm:spPr/>
    </dgm:pt>
    <dgm:pt modelId="{FCF36626-610D-EE49-BBFC-7328E90758A3}" type="pres">
      <dgm:prSet presAssocID="{92214F8A-2803-CE44-9295-FA685294921D}" presName="LevelOneTextNode" presStyleLbl="node0" presStyleIdx="1" presStyleCnt="4">
        <dgm:presLayoutVars>
          <dgm:chPref val="3"/>
        </dgm:presLayoutVars>
      </dgm:prSet>
      <dgm:spPr/>
    </dgm:pt>
    <dgm:pt modelId="{A2671394-62B6-2748-BE01-DA9450268874}" type="pres">
      <dgm:prSet presAssocID="{92214F8A-2803-CE44-9295-FA685294921D}" presName="level2hierChild" presStyleCnt="0"/>
      <dgm:spPr/>
    </dgm:pt>
    <dgm:pt modelId="{101863F9-BDF9-7C40-B661-6C1FE46B94FC}" type="pres">
      <dgm:prSet presAssocID="{85363616-E705-BB42-91F4-F41682903BA8}" presName="conn2-1" presStyleLbl="parChTrans1D2" presStyleIdx="1" presStyleCnt="8"/>
      <dgm:spPr/>
    </dgm:pt>
    <dgm:pt modelId="{BCFE1B05-1CAE-F148-8242-BE11ABE457A9}" type="pres">
      <dgm:prSet presAssocID="{85363616-E705-BB42-91F4-F41682903BA8}" presName="connTx" presStyleLbl="parChTrans1D2" presStyleIdx="1" presStyleCnt="8"/>
      <dgm:spPr/>
    </dgm:pt>
    <dgm:pt modelId="{F417449B-00DE-8541-8CD8-D98F7FEBFA36}" type="pres">
      <dgm:prSet presAssocID="{0F323BD9-DE09-264B-AC5E-3816BC6C86D5}" presName="root2" presStyleCnt="0"/>
      <dgm:spPr/>
    </dgm:pt>
    <dgm:pt modelId="{2FFE21D0-CA6D-A843-A733-ACE5D4805CF6}" type="pres">
      <dgm:prSet presAssocID="{0F323BD9-DE09-264B-AC5E-3816BC6C86D5}" presName="LevelTwoTextNode" presStyleLbl="node2" presStyleIdx="1" presStyleCnt="8">
        <dgm:presLayoutVars>
          <dgm:chPref val="3"/>
        </dgm:presLayoutVars>
      </dgm:prSet>
      <dgm:spPr/>
    </dgm:pt>
    <dgm:pt modelId="{D1E073C3-BD7B-E742-ACB6-0E6FD1A2BC6F}" type="pres">
      <dgm:prSet presAssocID="{0F323BD9-DE09-264B-AC5E-3816BC6C86D5}" presName="level3hierChild" presStyleCnt="0"/>
      <dgm:spPr/>
    </dgm:pt>
    <dgm:pt modelId="{1E71FD0F-0BDC-3A4C-83C3-DDD78F81CBCC}" type="pres">
      <dgm:prSet presAssocID="{7E00613C-BEEE-FB48-9735-DB92B0B4D50E}" presName="conn2-1" presStyleLbl="parChTrans1D2" presStyleIdx="2" presStyleCnt="8"/>
      <dgm:spPr/>
    </dgm:pt>
    <dgm:pt modelId="{74E75130-BB19-5046-9929-BB5841EE02B4}" type="pres">
      <dgm:prSet presAssocID="{7E00613C-BEEE-FB48-9735-DB92B0B4D50E}" presName="connTx" presStyleLbl="parChTrans1D2" presStyleIdx="2" presStyleCnt="8"/>
      <dgm:spPr/>
    </dgm:pt>
    <dgm:pt modelId="{0D2EDB16-6CC6-A24F-A1E7-AD359B3FB343}" type="pres">
      <dgm:prSet presAssocID="{98F77323-BCFF-CA44-8E2E-A63A9C7BA23E}" presName="root2" presStyleCnt="0"/>
      <dgm:spPr/>
    </dgm:pt>
    <dgm:pt modelId="{741CC061-BF35-F94E-AFB4-9BA3F9E6FD95}" type="pres">
      <dgm:prSet presAssocID="{98F77323-BCFF-CA44-8E2E-A63A9C7BA23E}" presName="LevelTwoTextNode" presStyleLbl="node2" presStyleIdx="2" presStyleCnt="8">
        <dgm:presLayoutVars>
          <dgm:chPref val="3"/>
        </dgm:presLayoutVars>
      </dgm:prSet>
      <dgm:spPr/>
    </dgm:pt>
    <dgm:pt modelId="{35F8AAD3-4F59-4E40-ACF0-B09D189BA9BB}" type="pres">
      <dgm:prSet presAssocID="{98F77323-BCFF-CA44-8E2E-A63A9C7BA23E}" presName="level3hierChild" presStyleCnt="0"/>
      <dgm:spPr/>
    </dgm:pt>
    <dgm:pt modelId="{B330E300-C421-8B44-B56B-0F98D69B5E0F}" type="pres">
      <dgm:prSet presAssocID="{91912CA5-FFA9-454A-AB1F-144B8DF79129}" presName="conn2-1" presStyleLbl="parChTrans1D2" presStyleIdx="3" presStyleCnt="8"/>
      <dgm:spPr/>
    </dgm:pt>
    <dgm:pt modelId="{B99B048B-0634-A841-A523-05DFB305AA68}" type="pres">
      <dgm:prSet presAssocID="{91912CA5-FFA9-454A-AB1F-144B8DF79129}" presName="connTx" presStyleLbl="parChTrans1D2" presStyleIdx="3" presStyleCnt="8"/>
      <dgm:spPr/>
    </dgm:pt>
    <dgm:pt modelId="{A9F6D587-D77D-A247-97A8-584025A81DBD}" type="pres">
      <dgm:prSet presAssocID="{2FDBD560-3F75-3941-8F01-1AF253B32018}" presName="root2" presStyleCnt="0"/>
      <dgm:spPr/>
    </dgm:pt>
    <dgm:pt modelId="{66FFE054-47C6-B149-85B9-D2122B1609B0}" type="pres">
      <dgm:prSet presAssocID="{2FDBD560-3F75-3941-8F01-1AF253B32018}" presName="LevelTwoTextNode" presStyleLbl="node2" presStyleIdx="3" presStyleCnt="8" custScaleX="188077" custLinFactNeighborX="-1961" custLinFactNeighborY="5884">
        <dgm:presLayoutVars>
          <dgm:chPref val="3"/>
        </dgm:presLayoutVars>
      </dgm:prSet>
      <dgm:spPr/>
    </dgm:pt>
    <dgm:pt modelId="{9697D94F-1C4B-6E42-B973-B4DDE3C19F95}" type="pres">
      <dgm:prSet presAssocID="{2FDBD560-3F75-3941-8F01-1AF253B32018}" presName="level3hierChild" presStyleCnt="0"/>
      <dgm:spPr/>
    </dgm:pt>
    <dgm:pt modelId="{C654F99B-6299-5742-9DB4-9CCF5D3B2FA8}" type="pres">
      <dgm:prSet presAssocID="{7D14CD41-EF81-1647-8810-E70DC79B622F}" presName="root1" presStyleCnt="0"/>
      <dgm:spPr/>
    </dgm:pt>
    <dgm:pt modelId="{A2DBA04D-4E00-7546-AA36-ABCC3CBA96A5}" type="pres">
      <dgm:prSet presAssocID="{7D14CD41-EF81-1647-8810-E70DC79B622F}" presName="LevelOneTextNode" presStyleLbl="node0" presStyleIdx="2" presStyleCnt="4">
        <dgm:presLayoutVars>
          <dgm:chPref val="3"/>
        </dgm:presLayoutVars>
      </dgm:prSet>
      <dgm:spPr/>
    </dgm:pt>
    <dgm:pt modelId="{6EFAF784-345A-E846-BD82-4FDE2D5CA214}" type="pres">
      <dgm:prSet presAssocID="{7D14CD41-EF81-1647-8810-E70DC79B622F}" presName="level2hierChild" presStyleCnt="0"/>
      <dgm:spPr/>
    </dgm:pt>
    <dgm:pt modelId="{D0042A4C-37B6-6A46-8EA0-1AADB50398FA}" type="pres">
      <dgm:prSet presAssocID="{041BDC82-57E8-8748-8052-A74A51E91B06}" presName="conn2-1" presStyleLbl="parChTrans1D2" presStyleIdx="4" presStyleCnt="8"/>
      <dgm:spPr/>
    </dgm:pt>
    <dgm:pt modelId="{57620C67-2375-564A-B4C6-5281A270CA00}" type="pres">
      <dgm:prSet presAssocID="{041BDC82-57E8-8748-8052-A74A51E91B06}" presName="connTx" presStyleLbl="parChTrans1D2" presStyleIdx="4" presStyleCnt="8"/>
      <dgm:spPr/>
    </dgm:pt>
    <dgm:pt modelId="{E9DCDE67-448D-BE45-9A11-28FE913D93FF}" type="pres">
      <dgm:prSet presAssocID="{92E6B061-E8EA-684C-AF54-1526A6647AC8}" presName="root2" presStyleCnt="0"/>
      <dgm:spPr/>
    </dgm:pt>
    <dgm:pt modelId="{FC8B53DD-0EDE-EE49-A42A-1AF89EA330AA}" type="pres">
      <dgm:prSet presAssocID="{92E6B061-E8EA-684C-AF54-1526A6647AC8}" presName="LevelTwoTextNode" presStyleLbl="node2" presStyleIdx="4" presStyleCnt="8">
        <dgm:presLayoutVars>
          <dgm:chPref val="3"/>
        </dgm:presLayoutVars>
      </dgm:prSet>
      <dgm:spPr/>
    </dgm:pt>
    <dgm:pt modelId="{D1EC62C1-D2D3-3E4E-94DF-2877C1206991}" type="pres">
      <dgm:prSet presAssocID="{92E6B061-E8EA-684C-AF54-1526A6647AC8}" presName="level3hierChild" presStyleCnt="0"/>
      <dgm:spPr/>
    </dgm:pt>
    <dgm:pt modelId="{95EFB233-14ED-1F44-9EAC-462C8AD34D47}" type="pres">
      <dgm:prSet presAssocID="{242F04C7-07D5-A447-91BB-ED5229EFDE35}" presName="conn2-1" presStyleLbl="parChTrans1D2" presStyleIdx="5" presStyleCnt="8"/>
      <dgm:spPr/>
    </dgm:pt>
    <dgm:pt modelId="{CE7235EA-005D-B245-849C-E1493BEBBCC1}" type="pres">
      <dgm:prSet presAssocID="{242F04C7-07D5-A447-91BB-ED5229EFDE35}" presName="connTx" presStyleLbl="parChTrans1D2" presStyleIdx="5" presStyleCnt="8"/>
      <dgm:spPr/>
    </dgm:pt>
    <dgm:pt modelId="{E3EAD085-1376-DF48-8AE3-A2B239ACEE4C}" type="pres">
      <dgm:prSet presAssocID="{F12979AC-6CA2-6B45-91F5-A5420368FE9C}" presName="root2" presStyleCnt="0"/>
      <dgm:spPr/>
    </dgm:pt>
    <dgm:pt modelId="{57CB46FC-3ECE-3343-8537-DAEC0388557D}" type="pres">
      <dgm:prSet presAssocID="{F12979AC-6CA2-6B45-91F5-A5420368FE9C}" presName="LevelTwoTextNode" presStyleLbl="node2" presStyleIdx="5" presStyleCnt="8">
        <dgm:presLayoutVars>
          <dgm:chPref val="3"/>
        </dgm:presLayoutVars>
      </dgm:prSet>
      <dgm:spPr/>
    </dgm:pt>
    <dgm:pt modelId="{1D63F98C-CAC0-BC4F-BF24-FD0B9ECD6C44}" type="pres">
      <dgm:prSet presAssocID="{F12979AC-6CA2-6B45-91F5-A5420368FE9C}" presName="level3hierChild" presStyleCnt="0"/>
      <dgm:spPr/>
    </dgm:pt>
    <dgm:pt modelId="{853BA030-7609-8044-A867-E33F0715C9F8}" type="pres">
      <dgm:prSet presAssocID="{6C2A3F84-6A4B-934C-B3E6-69AB0E95995E}" presName="root1" presStyleCnt="0"/>
      <dgm:spPr/>
    </dgm:pt>
    <dgm:pt modelId="{FE203BF8-0AC7-9A45-9AD4-5B4FCE90DFA3}" type="pres">
      <dgm:prSet presAssocID="{6C2A3F84-6A4B-934C-B3E6-69AB0E95995E}" presName="LevelOneTextNode" presStyleLbl="node0" presStyleIdx="3" presStyleCnt="4">
        <dgm:presLayoutVars>
          <dgm:chPref val="3"/>
        </dgm:presLayoutVars>
      </dgm:prSet>
      <dgm:spPr/>
    </dgm:pt>
    <dgm:pt modelId="{2571356E-1795-B34E-9463-1B5638C9842A}" type="pres">
      <dgm:prSet presAssocID="{6C2A3F84-6A4B-934C-B3E6-69AB0E95995E}" presName="level2hierChild" presStyleCnt="0"/>
      <dgm:spPr/>
    </dgm:pt>
    <dgm:pt modelId="{5E0D984F-1F68-384F-AF76-C8A825E11EC4}" type="pres">
      <dgm:prSet presAssocID="{7D0268D2-DEDE-D941-94CB-BFA3D5334996}" presName="conn2-1" presStyleLbl="parChTrans1D2" presStyleIdx="6" presStyleCnt="8"/>
      <dgm:spPr/>
    </dgm:pt>
    <dgm:pt modelId="{DBDAAC33-F735-DE45-A492-5EAC21321302}" type="pres">
      <dgm:prSet presAssocID="{7D0268D2-DEDE-D941-94CB-BFA3D5334996}" presName="connTx" presStyleLbl="parChTrans1D2" presStyleIdx="6" presStyleCnt="8"/>
      <dgm:spPr/>
    </dgm:pt>
    <dgm:pt modelId="{44A320DD-E3F9-CF41-AC3D-D44589EE197A}" type="pres">
      <dgm:prSet presAssocID="{5315F604-BB4D-774F-9754-BB76854FCA22}" presName="root2" presStyleCnt="0"/>
      <dgm:spPr/>
    </dgm:pt>
    <dgm:pt modelId="{E79221BD-6CDE-4C43-B797-B891ECD48AAD}" type="pres">
      <dgm:prSet presAssocID="{5315F604-BB4D-774F-9754-BB76854FCA22}" presName="LevelTwoTextNode" presStyleLbl="node2" presStyleIdx="6" presStyleCnt="8">
        <dgm:presLayoutVars>
          <dgm:chPref val="3"/>
        </dgm:presLayoutVars>
      </dgm:prSet>
      <dgm:spPr/>
    </dgm:pt>
    <dgm:pt modelId="{A4EBFE87-49E6-4449-9AD0-B9E930790213}" type="pres">
      <dgm:prSet presAssocID="{5315F604-BB4D-774F-9754-BB76854FCA22}" presName="level3hierChild" presStyleCnt="0"/>
      <dgm:spPr/>
    </dgm:pt>
    <dgm:pt modelId="{06255F26-8E87-4140-A188-37A05638411F}" type="pres">
      <dgm:prSet presAssocID="{E4AA0A80-C827-3141-B2EE-32E29C2D36AF}" presName="conn2-1" presStyleLbl="parChTrans1D2" presStyleIdx="7" presStyleCnt="8"/>
      <dgm:spPr/>
    </dgm:pt>
    <dgm:pt modelId="{B49ACF78-C6B4-1A42-A5A1-C7FF6AB99C7F}" type="pres">
      <dgm:prSet presAssocID="{E4AA0A80-C827-3141-B2EE-32E29C2D36AF}" presName="connTx" presStyleLbl="parChTrans1D2" presStyleIdx="7" presStyleCnt="8"/>
      <dgm:spPr/>
    </dgm:pt>
    <dgm:pt modelId="{D65E1745-273A-C047-955D-C7578759DFEE}" type="pres">
      <dgm:prSet presAssocID="{2850FD30-EA5D-414B-AE7E-C8E03E8DAC8D}" presName="root2" presStyleCnt="0"/>
      <dgm:spPr/>
    </dgm:pt>
    <dgm:pt modelId="{1FB8CD76-F8A9-CC4A-B163-3AD5EFF8FEDB}" type="pres">
      <dgm:prSet presAssocID="{2850FD30-EA5D-414B-AE7E-C8E03E8DAC8D}" presName="LevelTwoTextNode" presStyleLbl="node2" presStyleIdx="7" presStyleCnt="8">
        <dgm:presLayoutVars>
          <dgm:chPref val="3"/>
        </dgm:presLayoutVars>
      </dgm:prSet>
      <dgm:spPr/>
    </dgm:pt>
    <dgm:pt modelId="{EB592CC2-258E-D549-A9E8-F4D47381E465}" type="pres">
      <dgm:prSet presAssocID="{2850FD30-EA5D-414B-AE7E-C8E03E8DAC8D}" presName="level3hierChild" presStyleCnt="0"/>
      <dgm:spPr/>
    </dgm:pt>
  </dgm:ptLst>
  <dgm:cxnLst>
    <dgm:cxn modelId="{17335B02-A969-B243-9181-AE72F7E86792}" type="presOf" srcId="{85363616-E705-BB42-91F4-F41682903BA8}" destId="{BCFE1B05-1CAE-F148-8242-BE11ABE457A9}" srcOrd="1" destOrd="0" presId="urn:microsoft.com/office/officeart/2005/8/layout/hierarchy2"/>
    <dgm:cxn modelId="{46B2210C-1895-704C-AE19-AE44165821EC}" type="presOf" srcId="{92E6B061-E8EA-684C-AF54-1526A6647AC8}" destId="{FC8B53DD-0EDE-EE49-A42A-1AF89EA330AA}" srcOrd="0" destOrd="0" presId="urn:microsoft.com/office/officeart/2005/8/layout/hierarchy2"/>
    <dgm:cxn modelId="{E33B700D-A898-6A4E-85C2-8475D88BE633}" srcId="{7D14CD41-EF81-1647-8810-E70DC79B622F}" destId="{92E6B061-E8EA-684C-AF54-1526A6647AC8}" srcOrd="0" destOrd="0" parTransId="{041BDC82-57E8-8748-8052-A74A51E91B06}" sibTransId="{A3A63288-50CA-D54E-8F0C-4CADCB706FAD}"/>
    <dgm:cxn modelId="{342FBB1B-F0CA-1047-BC29-81B80AF95071}" type="presOf" srcId="{E4AA0A80-C827-3141-B2EE-32E29C2D36AF}" destId="{B49ACF78-C6B4-1A42-A5A1-C7FF6AB99C7F}" srcOrd="1" destOrd="0" presId="urn:microsoft.com/office/officeart/2005/8/layout/hierarchy2"/>
    <dgm:cxn modelId="{C5E57B1D-6B6E-EB4F-8D63-D4C142E4DA74}" type="presOf" srcId="{041BDC82-57E8-8748-8052-A74A51E91B06}" destId="{D0042A4C-37B6-6A46-8EA0-1AADB50398FA}" srcOrd="0" destOrd="0" presId="urn:microsoft.com/office/officeart/2005/8/layout/hierarchy2"/>
    <dgm:cxn modelId="{2677891E-F1BA-B94B-BEB6-DE0BADCD5392}" type="presOf" srcId="{D6BDF051-BB1F-3145-9403-A6C1E51A6A2B}" destId="{F0CA4D43-8547-164C-B7ED-3EDA8A6B9136}" srcOrd="0" destOrd="0" presId="urn:microsoft.com/office/officeart/2005/8/layout/hierarchy2"/>
    <dgm:cxn modelId="{C0227722-325F-A745-9162-00805E1F3C98}" srcId="{E0C3A106-93BE-A841-B7E0-B2245C1E3436}" destId="{7D14CD41-EF81-1647-8810-E70DC79B622F}" srcOrd="2" destOrd="0" parTransId="{E85A21BE-B8A1-2E4F-849F-0AB33DEE2BBF}" sibTransId="{E663FF81-CF1E-894B-AF70-327413DCC6F9}"/>
    <dgm:cxn modelId="{9BDC0530-9303-644A-A08D-91106B1AEDF6}" type="presOf" srcId="{91912CA5-FFA9-454A-AB1F-144B8DF79129}" destId="{B99B048B-0634-A841-A523-05DFB305AA68}" srcOrd="1" destOrd="0" presId="urn:microsoft.com/office/officeart/2005/8/layout/hierarchy2"/>
    <dgm:cxn modelId="{5178FB3C-5459-0342-8543-6F07445D6193}" type="presOf" srcId="{5467C867-C677-064B-8B86-E08D14551B49}" destId="{C9BF630A-BF45-A947-B530-ABAD107E1CB3}" srcOrd="0" destOrd="0" presId="urn:microsoft.com/office/officeart/2005/8/layout/hierarchy2"/>
    <dgm:cxn modelId="{4B1ABF3E-122F-9542-9318-DA8F7A633F39}" type="presOf" srcId="{98F77323-BCFF-CA44-8E2E-A63A9C7BA23E}" destId="{741CC061-BF35-F94E-AFB4-9BA3F9E6FD95}" srcOrd="0" destOrd="0" presId="urn:microsoft.com/office/officeart/2005/8/layout/hierarchy2"/>
    <dgm:cxn modelId="{BE7ACC5C-BB79-794D-9EDD-0617BE391A6F}" srcId="{6C2A3F84-6A4B-934C-B3E6-69AB0E95995E}" destId="{2850FD30-EA5D-414B-AE7E-C8E03E8DAC8D}" srcOrd="1" destOrd="0" parTransId="{E4AA0A80-C827-3141-B2EE-32E29C2D36AF}" sibTransId="{0F32D4E7-0FAE-5549-97FC-C8518AB5A475}"/>
    <dgm:cxn modelId="{08E64E5F-E138-9645-87AD-8C47C97D5E0A}" srcId="{92214F8A-2803-CE44-9295-FA685294921D}" destId="{0F323BD9-DE09-264B-AC5E-3816BC6C86D5}" srcOrd="0" destOrd="0" parTransId="{85363616-E705-BB42-91F4-F41682903BA8}" sibTransId="{5D7CE05A-7AEF-0944-AD7C-DA6AAC369B3A}"/>
    <dgm:cxn modelId="{15F8BB5F-03B4-2343-ACEC-C46E9E0CE886}" type="presOf" srcId="{6C2A3F84-6A4B-934C-B3E6-69AB0E95995E}" destId="{FE203BF8-0AC7-9A45-9AD4-5B4FCE90DFA3}" srcOrd="0" destOrd="0" presId="urn:microsoft.com/office/officeart/2005/8/layout/hierarchy2"/>
    <dgm:cxn modelId="{0691146B-68B8-9746-A4BA-8C53CCA15BDE}" type="presOf" srcId="{7E49192B-4803-5D45-8AC2-2ACB56BEDBC5}" destId="{806C7575-51D2-674D-974C-8F4C00530261}" srcOrd="1" destOrd="0" presId="urn:microsoft.com/office/officeart/2005/8/layout/hierarchy2"/>
    <dgm:cxn modelId="{9964276D-5361-FD47-BF36-BB846D6C2741}" type="presOf" srcId="{2850FD30-EA5D-414B-AE7E-C8E03E8DAC8D}" destId="{1FB8CD76-F8A9-CC4A-B163-3AD5EFF8FEDB}" srcOrd="0" destOrd="0" presId="urn:microsoft.com/office/officeart/2005/8/layout/hierarchy2"/>
    <dgm:cxn modelId="{267AC66D-E5FF-F044-B8AD-BCC8D2242B6C}" srcId="{92214F8A-2803-CE44-9295-FA685294921D}" destId="{2FDBD560-3F75-3941-8F01-1AF253B32018}" srcOrd="2" destOrd="0" parTransId="{91912CA5-FFA9-454A-AB1F-144B8DF79129}" sibTransId="{5FB5BBF7-ACE6-024C-AB90-D40806D2C432}"/>
    <dgm:cxn modelId="{DCEAD76E-BC9D-704F-9B74-7052DF125BB0}" type="presOf" srcId="{5315F604-BB4D-774F-9754-BB76854FCA22}" destId="{E79221BD-6CDE-4C43-B797-B891ECD48AAD}" srcOrd="0" destOrd="0" presId="urn:microsoft.com/office/officeart/2005/8/layout/hierarchy2"/>
    <dgm:cxn modelId="{F1D28575-3F54-3246-B1FE-FDFC969C668B}" srcId="{6C2A3F84-6A4B-934C-B3E6-69AB0E95995E}" destId="{5315F604-BB4D-774F-9754-BB76854FCA22}" srcOrd="0" destOrd="0" parTransId="{7D0268D2-DEDE-D941-94CB-BFA3D5334996}" sibTransId="{5F13D3E1-5FC8-8847-9BC7-385EED83FF94}"/>
    <dgm:cxn modelId="{6754957C-8CE9-0F4B-92A7-704F7DE133DE}" type="presOf" srcId="{7D0268D2-DEDE-D941-94CB-BFA3D5334996}" destId="{5E0D984F-1F68-384F-AF76-C8A825E11EC4}" srcOrd="0" destOrd="0" presId="urn:microsoft.com/office/officeart/2005/8/layout/hierarchy2"/>
    <dgm:cxn modelId="{C81AA17F-1B09-A644-8E06-A6EED523882F}" type="presOf" srcId="{2FDBD560-3F75-3941-8F01-1AF253B32018}" destId="{66FFE054-47C6-B149-85B9-D2122B1609B0}" srcOrd="0" destOrd="0" presId="urn:microsoft.com/office/officeart/2005/8/layout/hierarchy2"/>
    <dgm:cxn modelId="{0BD84390-BE9F-B14A-9C57-C3165B844D7A}" type="presOf" srcId="{242F04C7-07D5-A447-91BB-ED5229EFDE35}" destId="{95EFB233-14ED-1F44-9EAC-462C8AD34D47}" srcOrd="0" destOrd="0" presId="urn:microsoft.com/office/officeart/2005/8/layout/hierarchy2"/>
    <dgm:cxn modelId="{E7218C90-E043-C940-8182-9FE33ADE8DDD}" type="presOf" srcId="{7D14CD41-EF81-1647-8810-E70DC79B622F}" destId="{A2DBA04D-4E00-7546-AA36-ABCC3CBA96A5}" srcOrd="0" destOrd="0" presId="urn:microsoft.com/office/officeart/2005/8/layout/hierarchy2"/>
    <dgm:cxn modelId="{3D9DB990-09CD-794C-B7C3-AE45A4AC55CE}" type="presOf" srcId="{91912CA5-FFA9-454A-AB1F-144B8DF79129}" destId="{B330E300-C421-8B44-B56B-0F98D69B5E0F}" srcOrd="0" destOrd="0" presId="urn:microsoft.com/office/officeart/2005/8/layout/hierarchy2"/>
    <dgm:cxn modelId="{DD2C7895-84D0-2D43-83A6-3E6C1087096C}" srcId="{E0C3A106-93BE-A841-B7E0-B2245C1E3436}" destId="{5467C867-C677-064B-8B86-E08D14551B49}" srcOrd="0" destOrd="0" parTransId="{E70BDB16-09FF-F143-B87A-18CFD9B44C90}" sibTransId="{F1304D58-3328-9B45-9A9D-82E7FC3F1957}"/>
    <dgm:cxn modelId="{F4953AA3-E0C6-7540-8A66-5C46C60E435C}" srcId="{E0C3A106-93BE-A841-B7E0-B2245C1E3436}" destId="{6C2A3F84-6A4B-934C-B3E6-69AB0E95995E}" srcOrd="3" destOrd="0" parTransId="{2223E973-51EB-4149-945E-D3541C4BC35E}" sibTransId="{1D884D55-BE93-6F4B-A018-0B5D64F2734C}"/>
    <dgm:cxn modelId="{6FC187A9-1B95-BF4D-A350-5417605684BD}" type="presOf" srcId="{7E00613C-BEEE-FB48-9735-DB92B0B4D50E}" destId="{74E75130-BB19-5046-9929-BB5841EE02B4}" srcOrd="1" destOrd="0" presId="urn:microsoft.com/office/officeart/2005/8/layout/hierarchy2"/>
    <dgm:cxn modelId="{95987DAF-093E-8D45-B29D-0E1EDF8BD121}" type="presOf" srcId="{E4AA0A80-C827-3141-B2EE-32E29C2D36AF}" destId="{06255F26-8E87-4140-A188-37A05638411F}" srcOrd="0" destOrd="0" presId="urn:microsoft.com/office/officeart/2005/8/layout/hierarchy2"/>
    <dgm:cxn modelId="{F934E2B1-F559-DF4B-B0D2-D860AED84AC6}" srcId="{7D14CD41-EF81-1647-8810-E70DC79B622F}" destId="{F12979AC-6CA2-6B45-91F5-A5420368FE9C}" srcOrd="1" destOrd="0" parTransId="{242F04C7-07D5-A447-91BB-ED5229EFDE35}" sibTransId="{093C84C5-4430-D74D-9496-8B175D2E32CD}"/>
    <dgm:cxn modelId="{55FA9EB3-CACC-6B45-8C92-267B22AC80E8}" type="presOf" srcId="{7D0268D2-DEDE-D941-94CB-BFA3D5334996}" destId="{DBDAAC33-F735-DE45-A492-5EAC21321302}" srcOrd="1" destOrd="0" presId="urn:microsoft.com/office/officeart/2005/8/layout/hierarchy2"/>
    <dgm:cxn modelId="{4FF32AB4-E5B9-2A49-9AF0-48DD4E737F0F}" type="presOf" srcId="{242F04C7-07D5-A447-91BB-ED5229EFDE35}" destId="{CE7235EA-005D-B245-849C-E1493BEBBCC1}" srcOrd="1" destOrd="0" presId="urn:microsoft.com/office/officeart/2005/8/layout/hierarchy2"/>
    <dgm:cxn modelId="{BA07F4B5-0C95-7047-A8B4-4150A9FAC080}" srcId="{5467C867-C677-064B-8B86-E08D14551B49}" destId="{D6BDF051-BB1F-3145-9403-A6C1E51A6A2B}" srcOrd="0" destOrd="0" parTransId="{7E49192B-4803-5D45-8AC2-2ACB56BEDBC5}" sibTransId="{90F3DE81-6805-CC4C-BC98-EE9C805A76F6}"/>
    <dgm:cxn modelId="{12E6DCB8-33BA-7A4B-886D-653E9F65FD5E}" type="presOf" srcId="{E0C3A106-93BE-A841-B7E0-B2245C1E3436}" destId="{51117E64-3ED3-C049-AA46-0099B8D3E193}" srcOrd="0" destOrd="0" presId="urn:microsoft.com/office/officeart/2005/8/layout/hierarchy2"/>
    <dgm:cxn modelId="{496975BC-565D-6040-A892-43277CE5FC82}" type="presOf" srcId="{7E00613C-BEEE-FB48-9735-DB92B0B4D50E}" destId="{1E71FD0F-0BDC-3A4C-83C3-DDD78F81CBCC}" srcOrd="0" destOrd="0" presId="urn:microsoft.com/office/officeart/2005/8/layout/hierarchy2"/>
    <dgm:cxn modelId="{54F8BFC8-F90F-6540-8B1A-1469C6CFFE45}" type="presOf" srcId="{F12979AC-6CA2-6B45-91F5-A5420368FE9C}" destId="{57CB46FC-3ECE-3343-8537-DAEC0388557D}" srcOrd="0" destOrd="0" presId="urn:microsoft.com/office/officeart/2005/8/layout/hierarchy2"/>
    <dgm:cxn modelId="{5D6B8BCE-0983-1F4C-B0C9-D9B622ACE0E2}" srcId="{E0C3A106-93BE-A841-B7E0-B2245C1E3436}" destId="{92214F8A-2803-CE44-9295-FA685294921D}" srcOrd="1" destOrd="0" parTransId="{8C6A16CB-C48A-E848-BDE4-F0FA41B1DE00}" sibTransId="{2552DCE3-C53C-FF4D-935F-CB49FBFDC98F}"/>
    <dgm:cxn modelId="{7801F5D2-85D8-F749-9BC6-19E51BFECCCC}" type="presOf" srcId="{85363616-E705-BB42-91F4-F41682903BA8}" destId="{101863F9-BDF9-7C40-B661-6C1FE46B94FC}" srcOrd="0" destOrd="0" presId="urn:microsoft.com/office/officeart/2005/8/layout/hierarchy2"/>
    <dgm:cxn modelId="{DC7030E3-F0BB-6D4B-8A4C-212173C91211}" type="presOf" srcId="{0F323BD9-DE09-264B-AC5E-3816BC6C86D5}" destId="{2FFE21D0-CA6D-A843-A733-ACE5D4805CF6}" srcOrd="0" destOrd="0" presId="urn:microsoft.com/office/officeart/2005/8/layout/hierarchy2"/>
    <dgm:cxn modelId="{9B43EBEC-4E7B-AA40-B402-45B783B2047E}" type="presOf" srcId="{7E49192B-4803-5D45-8AC2-2ACB56BEDBC5}" destId="{96296739-ABC5-EE42-9183-5EE6E970EBB7}" srcOrd="0" destOrd="0" presId="urn:microsoft.com/office/officeart/2005/8/layout/hierarchy2"/>
    <dgm:cxn modelId="{5D72EDF2-F8A0-9444-B46C-927F78EF1779}" srcId="{92214F8A-2803-CE44-9295-FA685294921D}" destId="{98F77323-BCFF-CA44-8E2E-A63A9C7BA23E}" srcOrd="1" destOrd="0" parTransId="{7E00613C-BEEE-FB48-9735-DB92B0B4D50E}" sibTransId="{4FE9F4C8-B435-7C45-8978-CB6272F01099}"/>
    <dgm:cxn modelId="{E36FFFF7-7F41-B949-93FE-249C5BCF3DB6}" type="presOf" srcId="{92214F8A-2803-CE44-9295-FA685294921D}" destId="{FCF36626-610D-EE49-BBFC-7328E90758A3}" srcOrd="0" destOrd="0" presId="urn:microsoft.com/office/officeart/2005/8/layout/hierarchy2"/>
    <dgm:cxn modelId="{B2CCDBF8-F825-324C-918D-12DEFC7A7C44}" type="presOf" srcId="{041BDC82-57E8-8748-8052-A74A51E91B06}" destId="{57620C67-2375-564A-B4C6-5281A270CA00}" srcOrd="1" destOrd="0" presId="urn:microsoft.com/office/officeart/2005/8/layout/hierarchy2"/>
    <dgm:cxn modelId="{9D2095EB-882E-A143-A4EF-85910A37A79E}" type="presParOf" srcId="{51117E64-3ED3-C049-AA46-0099B8D3E193}" destId="{E3AD92C1-1AD0-F642-A51B-5D6EEF792040}" srcOrd="0" destOrd="0" presId="urn:microsoft.com/office/officeart/2005/8/layout/hierarchy2"/>
    <dgm:cxn modelId="{34ACADEC-6540-974D-8E4D-221B1637C4DB}" type="presParOf" srcId="{E3AD92C1-1AD0-F642-A51B-5D6EEF792040}" destId="{C9BF630A-BF45-A947-B530-ABAD107E1CB3}" srcOrd="0" destOrd="0" presId="urn:microsoft.com/office/officeart/2005/8/layout/hierarchy2"/>
    <dgm:cxn modelId="{42AF81AE-EB6E-7545-8E18-A7C95CACBC7C}" type="presParOf" srcId="{E3AD92C1-1AD0-F642-A51B-5D6EEF792040}" destId="{89A0D76E-C77A-C048-A483-DADADDD382C3}" srcOrd="1" destOrd="0" presId="urn:microsoft.com/office/officeart/2005/8/layout/hierarchy2"/>
    <dgm:cxn modelId="{4AC0D9C0-96D4-164B-8ACC-318BEA034494}" type="presParOf" srcId="{89A0D76E-C77A-C048-A483-DADADDD382C3}" destId="{96296739-ABC5-EE42-9183-5EE6E970EBB7}" srcOrd="0" destOrd="0" presId="urn:microsoft.com/office/officeart/2005/8/layout/hierarchy2"/>
    <dgm:cxn modelId="{A822ECE2-8AA8-E94B-BCC7-DC27B02F6B42}" type="presParOf" srcId="{96296739-ABC5-EE42-9183-5EE6E970EBB7}" destId="{806C7575-51D2-674D-974C-8F4C00530261}" srcOrd="0" destOrd="0" presId="urn:microsoft.com/office/officeart/2005/8/layout/hierarchy2"/>
    <dgm:cxn modelId="{05C4F759-62E6-A841-9436-FE6DFCDEF16E}" type="presParOf" srcId="{89A0D76E-C77A-C048-A483-DADADDD382C3}" destId="{EF330BA7-C813-874C-B621-BEC8B188C58C}" srcOrd="1" destOrd="0" presId="urn:microsoft.com/office/officeart/2005/8/layout/hierarchy2"/>
    <dgm:cxn modelId="{CF06286B-5B4E-A841-B039-54B715F540A0}" type="presParOf" srcId="{EF330BA7-C813-874C-B621-BEC8B188C58C}" destId="{F0CA4D43-8547-164C-B7ED-3EDA8A6B9136}" srcOrd="0" destOrd="0" presId="urn:microsoft.com/office/officeart/2005/8/layout/hierarchy2"/>
    <dgm:cxn modelId="{3E9AC051-66F6-C24D-91C2-238E623FBCC2}" type="presParOf" srcId="{EF330BA7-C813-874C-B621-BEC8B188C58C}" destId="{03AEEFFA-5CBC-9046-A600-FFA001CAA526}" srcOrd="1" destOrd="0" presId="urn:microsoft.com/office/officeart/2005/8/layout/hierarchy2"/>
    <dgm:cxn modelId="{70409EBA-69E0-4746-BED2-E64574266EF5}" type="presParOf" srcId="{51117E64-3ED3-C049-AA46-0099B8D3E193}" destId="{B32741A9-F73E-EB41-896E-1EEA7DC319C6}" srcOrd="1" destOrd="0" presId="urn:microsoft.com/office/officeart/2005/8/layout/hierarchy2"/>
    <dgm:cxn modelId="{2FE0038D-A787-354D-9AD5-68C228437CFF}" type="presParOf" srcId="{B32741A9-F73E-EB41-896E-1EEA7DC319C6}" destId="{FCF36626-610D-EE49-BBFC-7328E90758A3}" srcOrd="0" destOrd="0" presId="urn:microsoft.com/office/officeart/2005/8/layout/hierarchy2"/>
    <dgm:cxn modelId="{DE4D6B67-DC1E-AD44-8AE8-522FCFEDF001}" type="presParOf" srcId="{B32741A9-F73E-EB41-896E-1EEA7DC319C6}" destId="{A2671394-62B6-2748-BE01-DA9450268874}" srcOrd="1" destOrd="0" presId="urn:microsoft.com/office/officeart/2005/8/layout/hierarchy2"/>
    <dgm:cxn modelId="{CC1A0CCA-D5EB-1B40-8EDC-A033F38BFBE9}" type="presParOf" srcId="{A2671394-62B6-2748-BE01-DA9450268874}" destId="{101863F9-BDF9-7C40-B661-6C1FE46B94FC}" srcOrd="0" destOrd="0" presId="urn:microsoft.com/office/officeart/2005/8/layout/hierarchy2"/>
    <dgm:cxn modelId="{0E3C3FD5-993E-4743-9D71-F3F1385594F8}" type="presParOf" srcId="{101863F9-BDF9-7C40-B661-6C1FE46B94FC}" destId="{BCFE1B05-1CAE-F148-8242-BE11ABE457A9}" srcOrd="0" destOrd="0" presId="urn:microsoft.com/office/officeart/2005/8/layout/hierarchy2"/>
    <dgm:cxn modelId="{B47984BA-FA36-3046-9D82-82683096B7BF}" type="presParOf" srcId="{A2671394-62B6-2748-BE01-DA9450268874}" destId="{F417449B-00DE-8541-8CD8-D98F7FEBFA36}" srcOrd="1" destOrd="0" presId="urn:microsoft.com/office/officeart/2005/8/layout/hierarchy2"/>
    <dgm:cxn modelId="{9FE2F43E-8B08-6641-9306-615962C29937}" type="presParOf" srcId="{F417449B-00DE-8541-8CD8-D98F7FEBFA36}" destId="{2FFE21D0-CA6D-A843-A733-ACE5D4805CF6}" srcOrd="0" destOrd="0" presId="urn:microsoft.com/office/officeart/2005/8/layout/hierarchy2"/>
    <dgm:cxn modelId="{37BEEEC8-1F1D-5C4E-8E6F-F1569419D8A8}" type="presParOf" srcId="{F417449B-00DE-8541-8CD8-D98F7FEBFA36}" destId="{D1E073C3-BD7B-E742-ACB6-0E6FD1A2BC6F}" srcOrd="1" destOrd="0" presId="urn:microsoft.com/office/officeart/2005/8/layout/hierarchy2"/>
    <dgm:cxn modelId="{FDD55D76-D215-DA4D-BDEC-3C4FD508AC6B}" type="presParOf" srcId="{A2671394-62B6-2748-BE01-DA9450268874}" destId="{1E71FD0F-0BDC-3A4C-83C3-DDD78F81CBCC}" srcOrd="2" destOrd="0" presId="urn:microsoft.com/office/officeart/2005/8/layout/hierarchy2"/>
    <dgm:cxn modelId="{452CE644-865E-9E41-BBDE-73EF4612FAE7}" type="presParOf" srcId="{1E71FD0F-0BDC-3A4C-83C3-DDD78F81CBCC}" destId="{74E75130-BB19-5046-9929-BB5841EE02B4}" srcOrd="0" destOrd="0" presId="urn:microsoft.com/office/officeart/2005/8/layout/hierarchy2"/>
    <dgm:cxn modelId="{B4FEAE16-8EFC-5E43-8EC0-C8DA9FD231B8}" type="presParOf" srcId="{A2671394-62B6-2748-BE01-DA9450268874}" destId="{0D2EDB16-6CC6-A24F-A1E7-AD359B3FB343}" srcOrd="3" destOrd="0" presId="urn:microsoft.com/office/officeart/2005/8/layout/hierarchy2"/>
    <dgm:cxn modelId="{FE0B035A-CB43-E24F-9A46-E1F4227EBE00}" type="presParOf" srcId="{0D2EDB16-6CC6-A24F-A1E7-AD359B3FB343}" destId="{741CC061-BF35-F94E-AFB4-9BA3F9E6FD95}" srcOrd="0" destOrd="0" presId="urn:microsoft.com/office/officeart/2005/8/layout/hierarchy2"/>
    <dgm:cxn modelId="{8E5923EE-05A9-9544-8CE1-AA4BABDF73AA}" type="presParOf" srcId="{0D2EDB16-6CC6-A24F-A1E7-AD359B3FB343}" destId="{35F8AAD3-4F59-4E40-ACF0-B09D189BA9BB}" srcOrd="1" destOrd="0" presId="urn:microsoft.com/office/officeart/2005/8/layout/hierarchy2"/>
    <dgm:cxn modelId="{D161705C-0FAC-EE4C-A523-E5A1BC3F896C}" type="presParOf" srcId="{A2671394-62B6-2748-BE01-DA9450268874}" destId="{B330E300-C421-8B44-B56B-0F98D69B5E0F}" srcOrd="4" destOrd="0" presId="urn:microsoft.com/office/officeart/2005/8/layout/hierarchy2"/>
    <dgm:cxn modelId="{C55379D7-0CCB-E546-AD97-49490F2D91E0}" type="presParOf" srcId="{B330E300-C421-8B44-B56B-0F98D69B5E0F}" destId="{B99B048B-0634-A841-A523-05DFB305AA68}" srcOrd="0" destOrd="0" presId="urn:microsoft.com/office/officeart/2005/8/layout/hierarchy2"/>
    <dgm:cxn modelId="{D5A90D5C-6A1A-1E41-87CE-B40D9C0F006B}" type="presParOf" srcId="{A2671394-62B6-2748-BE01-DA9450268874}" destId="{A9F6D587-D77D-A247-97A8-584025A81DBD}" srcOrd="5" destOrd="0" presId="urn:microsoft.com/office/officeart/2005/8/layout/hierarchy2"/>
    <dgm:cxn modelId="{D0C05423-95A5-6E4C-8DAC-1D59A3B319CD}" type="presParOf" srcId="{A9F6D587-D77D-A247-97A8-584025A81DBD}" destId="{66FFE054-47C6-B149-85B9-D2122B1609B0}" srcOrd="0" destOrd="0" presId="urn:microsoft.com/office/officeart/2005/8/layout/hierarchy2"/>
    <dgm:cxn modelId="{ED58625A-701F-8C41-AF17-E239679AE4FB}" type="presParOf" srcId="{A9F6D587-D77D-A247-97A8-584025A81DBD}" destId="{9697D94F-1C4B-6E42-B973-B4DDE3C19F95}" srcOrd="1" destOrd="0" presId="urn:microsoft.com/office/officeart/2005/8/layout/hierarchy2"/>
    <dgm:cxn modelId="{A7350542-6319-B448-A036-B0DE18BCF8B9}" type="presParOf" srcId="{51117E64-3ED3-C049-AA46-0099B8D3E193}" destId="{C654F99B-6299-5742-9DB4-9CCF5D3B2FA8}" srcOrd="2" destOrd="0" presId="urn:microsoft.com/office/officeart/2005/8/layout/hierarchy2"/>
    <dgm:cxn modelId="{7C6EF2F7-629A-BC42-910C-EBD36E0C03FF}" type="presParOf" srcId="{C654F99B-6299-5742-9DB4-9CCF5D3B2FA8}" destId="{A2DBA04D-4E00-7546-AA36-ABCC3CBA96A5}" srcOrd="0" destOrd="0" presId="urn:microsoft.com/office/officeart/2005/8/layout/hierarchy2"/>
    <dgm:cxn modelId="{46AFF008-74D2-C742-B73B-7E1AE20846A5}" type="presParOf" srcId="{C654F99B-6299-5742-9DB4-9CCF5D3B2FA8}" destId="{6EFAF784-345A-E846-BD82-4FDE2D5CA214}" srcOrd="1" destOrd="0" presId="urn:microsoft.com/office/officeart/2005/8/layout/hierarchy2"/>
    <dgm:cxn modelId="{47FEA2EA-0720-C94A-8F32-41D41698F48F}" type="presParOf" srcId="{6EFAF784-345A-E846-BD82-4FDE2D5CA214}" destId="{D0042A4C-37B6-6A46-8EA0-1AADB50398FA}" srcOrd="0" destOrd="0" presId="urn:microsoft.com/office/officeart/2005/8/layout/hierarchy2"/>
    <dgm:cxn modelId="{713FD3B4-7330-D143-972C-3BB2F5E50561}" type="presParOf" srcId="{D0042A4C-37B6-6A46-8EA0-1AADB50398FA}" destId="{57620C67-2375-564A-B4C6-5281A270CA00}" srcOrd="0" destOrd="0" presId="urn:microsoft.com/office/officeart/2005/8/layout/hierarchy2"/>
    <dgm:cxn modelId="{AE3B04F1-D695-994B-962B-C4B62DF7A5F5}" type="presParOf" srcId="{6EFAF784-345A-E846-BD82-4FDE2D5CA214}" destId="{E9DCDE67-448D-BE45-9A11-28FE913D93FF}" srcOrd="1" destOrd="0" presId="urn:microsoft.com/office/officeart/2005/8/layout/hierarchy2"/>
    <dgm:cxn modelId="{B650B4F4-1494-EF4E-8A95-039F05B3B27B}" type="presParOf" srcId="{E9DCDE67-448D-BE45-9A11-28FE913D93FF}" destId="{FC8B53DD-0EDE-EE49-A42A-1AF89EA330AA}" srcOrd="0" destOrd="0" presId="urn:microsoft.com/office/officeart/2005/8/layout/hierarchy2"/>
    <dgm:cxn modelId="{7A001C95-D09A-4C4A-880B-3A07D829C1EB}" type="presParOf" srcId="{E9DCDE67-448D-BE45-9A11-28FE913D93FF}" destId="{D1EC62C1-D2D3-3E4E-94DF-2877C1206991}" srcOrd="1" destOrd="0" presId="urn:microsoft.com/office/officeart/2005/8/layout/hierarchy2"/>
    <dgm:cxn modelId="{6E74F4CA-986A-7341-AD67-F34AF08582FB}" type="presParOf" srcId="{6EFAF784-345A-E846-BD82-4FDE2D5CA214}" destId="{95EFB233-14ED-1F44-9EAC-462C8AD34D47}" srcOrd="2" destOrd="0" presId="urn:microsoft.com/office/officeart/2005/8/layout/hierarchy2"/>
    <dgm:cxn modelId="{5422CF0D-AF11-0046-8C56-A9704F1B6FBE}" type="presParOf" srcId="{95EFB233-14ED-1F44-9EAC-462C8AD34D47}" destId="{CE7235EA-005D-B245-849C-E1493BEBBCC1}" srcOrd="0" destOrd="0" presId="urn:microsoft.com/office/officeart/2005/8/layout/hierarchy2"/>
    <dgm:cxn modelId="{8A34B826-CCA1-A547-B5E6-A01005E1538E}" type="presParOf" srcId="{6EFAF784-345A-E846-BD82-4FDE2D5CA214}" destId="{E3EAD085-1376-DF48-8AE3-A2B239ACEE4C}" srcOrd="3" destOrd="0" presId="urn:microsoft.com/office/officeart/2005/8/layout/hierarchy2"/>
    <dgm:cxn modelId="{80B2F5A4-AE82-C145-B9B0-4727E71C7DA4}" type="presParOf" srcId="{E3EAD085-1376-DF48-8AE3-A2B239ACEE4C}" destId="{57CB46FC-3ECE-3343-8537-DAEC0388557D}" srcOrd="0" destOrd="0" presId="urn:microsoft.com/office/officeart/2005/8/layout/hierarchy2"/>
    <dgm:cxn modelId="{076DE4DE-ABBE-8D43-8056-00A364273780}" type="presParOf" srcId="{E3EAD085-1376-DF48-8AE3-A2B239ACEE4C}" destId="{1D63F98C-CAC0-BC4F-BF24-FD0B9ECD6C44}" srcOrd="1" destOrd="0" presId="urn:microsoft.com/office/officeart/2005/8/layout/hierarchy2"/>
    <dgm:cxn modelId="{FB995624-8B1C-0645-A1BA-FC80A6767CD9}" type="presParOf" srcId="{51117E64-3ED3-C049-AA46-0099B8D3E193}" destId="{853BA030-7609-8044-A867-E33F0715C9F8}" srcOrd="3" destOrd="0" presId="urn:microsoft.com/office/officeart/2005/8/layout/hierarchy2"/>
    <dgm:cxn modelId="{20CF7049-99A7-114A-A397-EB1678BB3090}" type="presParOf" srcId="{853BA030-7609-8044-A867-E33F0715C9F8}" destId="{FE203BF8-0AC7-9A45-9AD4-5B4FCE90DFA3}" srcOrd="0" destOrd="0" presId="urn:microsoft.com/office/officeart/2005/8/layout/hierarchy2"/>
    <dgm:cxn modelId="{1A70ACB3-8C17-5943-A20B-72861AAF64B9}" type="presParOf" srcId="{853BA030-7609-8044-A867-E33F0715C9F8}" destId="{2571356E-1795-B34E-9463-1B5638C9842A}" srcOrd="1" destOrd="0" presId="urn:microsoft.com/office/officeart/2005/8/layout/hierarchy2"/>
    <dgm:cxn modelId="{42257702-9B6C-5B4A-8B2C-689CD7A93A44}" type="presParOf" srcId="{2571356E-1795-B34E-9463-1B5638C9842A}" destId="{5E0D984F-1F68-384F-AF76-C8A825E11EC4}" srcOrd="0" destOrd="0" presId="urn:microsoft.com/office/officeart/2005/8/layout/hierarchy2"/>
    <dgm:cxn modelId="{674A0512-920B-F644-AE25-19FF1B635856}" type="presParOf" srcId="{5E0D984F-1F68-384F-AF76-C8A825E11EC4}" destId="{DBDAAC33-F735-DE45-A492-5EAC21321302}" srcOrd="0" destOrd="0" presId="urn:microsoft.com/office/officeart/2005/8/layout/hierarchy2"/>
    <dgm:cxn modelId="{A699CF53-7E53-6541-9DA9-EB72C49D2620}" type="presParOf" srcId="{2571356E-1795-B34E-9463-1B5638C9842A}" destId="{44A320DD-E3F9-CF41-AC3D-D44589EE197A}" srcOrd="1" destOrd="0" presId="urn:microsoft.com/office/officeart/2005/8/layout/hierarchy2"/>
    <dgm:cxn modelId="{BC8E372D-69F9-6A4F-9F2C-D01242302033}" type="presParOf" srcId="{44A320DD-E3F9-CF41-AC3D-D44589EE197A}" destId="{E79221BD-6CDE-4C43-B797-B891ECD48AAD}" srcOrd="0" destOrd="0" presId="urn:microsoft.com/office/officeart/2005/8/layout/hierarchy2"/>
    <dgm:cxn modelId="{3502A359-DAC2-7F4D-B38E-E2143D22F192}" type="presParOf" srcId="{44A320DD-E3F9-CF41-AC3D-D44589EE197A}" destId="{A4EBFE87-49E6-4449-9AD0-B9E930790213}" srcOrd="1" destOrd="0" presId="urn:microsoft.com/office/officeart/2005/8/layout/hierarchy2"/>
    <dgm:cxn modelId="{B2A86E34-5C2B-C54D-8C59-BE66D02AF571}" type="presParOf" srcId="{2571356E-1795-B34E-9463-1B5638C9842A}" destId="{06255F26-8E87-4140-A188-37A05638411F}" srcOrd="2" destOrd="0" presId="urn:microsoft.com/office/officeart/2005/8/layout/hierarchy2"/>
    <dgm:cxn modelId="{AEBA6DAA-57AC-CE4B-929C-749D445850E5}" type="presParOf" srcId="{06255F26-8E87-4140-A188-37A05638411F}" destId="{B49ACF78-C6B4-1A42-A5A1-C7FF6AB99C7F}" srcOrd="0" destOrd="0" presId="urn:microsoft.com/office/officeart/2005/8/layout/hierarchy2"/>
    <dgm:cxn modelId="{B2CEB534-EAC2-AB49-A9CC-4DFAA96F4997}" type="presParOf" srcId="{2571356E-1795-B34E-9463-1B5638C9842A}" destId="{D65E1745-273A-C047-955D-C7578759DFEE}" srcOrd="3" destOrd="0" presId="urn:microsoft.com/office/officeart/2005/8/layout/hierarchy2"/>
    <dgm:cxn modelId="{29E3F52F-D244-B044-8E26-7339A1A8A7DB}" type="presParOf" srcId="{D65E1745-273A-C047-955D-C7578759DFEE}" destId="{1FB8CD76-F8A9-CC4A-B163-3AD5EFF8FEDB}" srcOrd="0" destOrd="0" presId="urn:microsoft.com/office/officeart/2005/8/layout/hierarchy2"/>
    <dgm:cxn modelId="{CCA9E28C-B0F1-C449-A235-D3FAAA67DF9D}" type="presParOf" srcId="{D65E1745-273A-C047-955D-C7578759DFEE}" destId="{EB592CC2-258E-D549-A9E8-F4D47381E465}" srcOrd="1" destOrd="0" presId="urn:microsoft.com/office/officeart/2005/8/layout/hierarchy2"/>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9BF630A-BF45-A947-B530-ABAD107E1CB3}">
      <dsp:nvSpPr>
        <dsp:cNvPr id="0" name=""/>
        <dsp:cNvSpPr/>
      </dsp:nvSpPr>
      <dsp:spPr>
        <a:xfrm>
          <a:off x="1748900" y="2094"/>
          <a:ext cx="776963" cy="388481"/>
        </a:xfrm>
        <a:prstGeom prst="roundRect">
          <a:avLst>
            <a:gd name="adj" fmla="val 10000"/>
          </a:avLst>
        </a:prstGeom>
        <a:solidFill>
          <a:schemeClr val="accent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t>Select the candidate beam/cell to trigger early synchronization</a:t>
          </a:r>
          <a:endParaRPr lang="en-GB" sz="600" kern="1200"/>
        </a:p>
      </dsp:txBody>
      <dsp:txXfrm>
        <a:off x="1760278" y="13472"/>
        <a:ext cx="754207" cy="365725"/>
      </dsp:txXfrm>
    </dsp:sp>
    <dsp:sp modelId="{96296739-ABC5-EE42-9183-5EE6E970EBB7}">
      <dsp:nvSpPr>
        <dsp:cNvPr id="0" name=""/>
        <dsp:cNvSpPr/>
      </dsp:nvSpPr>
      <dsp:spPr>
        <a:xfrm>
          <a:off x="2525863" y="186402"/>
          <a:ext cx="310785" cy="19865"/>
        </a:xfrm>
        <a:custGeom>
          <a:avLst/>
          <a:gdLst/>
          <a:ahLst/>
          <a:cxnLst/>
          <a:rect l="0" t="0" r="0" b="0"/>
          <a:pathLst>
            <a:path>
              <a:moveTo>
                <a:pt x="0" y="9932"/>
              </a:moveTo>
              <a:lnTo>
                <a:pt x="310785" y="993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673486" y="188565"/>
        <a:ext cx="15539" cy="15539"/>
      </dsp:txXfrm>
    </dsp:sp>
    <dsp:sp modelId="{F0CA4D43-8547-164C-B7ED-3EDA8A6B9136}">
      <dsp:nvSpPr>
        <dsp:cNvPr id="0" name=""/>
        <dsp:cNvSpPr/>
      </dsp:nvSpPr>
      <dsp:spPr>
        <a:xfrm>
          <a:off x="2836649" y="2094"/>
          <a:ext cx="776963" cy="388481"/>
        </a:xfrm>
        <a:prstGeom prst="roundRect">
          <a:avLst>
            <a:gd name="adj" fmla="val 10000"/>
          </a:avLst>
        </a:prstGeom>
        <a:solidFill>
          <a:schemeClr val="accent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t>LTM4: Beam of candidate cell becomes better than absolute threshold</a:t>
          </a:r>
          <a:endParaRPr lang="en-GB" sz="600" kern="1200"/>
        </a:p>
      </dsp:txBody>
      <dsp:txXfrm>
        <a:off x="2848027" y="13472"/>
        <a:ext cx="754207" cy="365725"/>
      </dsp:txXfrm>
    </dsp:sp>
    <dsp:sp modelId="{FCF36626-610D-EE49-BBFC-7328E90758A3}">
      <dsp:nvSpPr>
        <dsp:cNvPr id="0" name=""/>
        <dsp:cNvSpPr/>
      </dsp:nvSpPr>
      <dsp:spPr>
        <a:xfrm>
          <a:off x="1748900" y="895602"/>
          <a:ext cx="776963" cy="388481"/>
        </a:xfrm>
        <a:prstGeom prst="roundRect">
          <a:avLst>
            <a:gd name="adj" fmla="val 10000"/>
          </a:avLst>
        </a:prstGeom>
        <a:solidFill>
          <a:schemeClr val="accent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t>Select the target beam/cell and trigger LTM cell switch procedure.</a:t>
          </a:r>
          <a:endParaRPr lang="en-GB" sz="600" kern="1200"/>
        </a:p>
      </dsp:txBody>
      <dsp:txXfrm>
        <a:off x="1760278" y="906980"/>
        <a:ext cx="754207" cy="365725"/>
      </dsp:txXfrm>
    </dsp:sp>
    <dsp:sp modelId="{101863F9-BDF9-7C40-B661-6C1FE46B94FC}">
      <dsp:nvSpPr>
        <dsp:cNvPr id="0" name=""/>
        <dsp:cNvSpPr/>
      </dsp:nvSpPr>
      <dsp:spPr>
        <a:xfrm rot="18289469">
          <a:off x="2409145" y="856533"/>
          <a:ext cx="544221" cy="19865"/>
        </a:xfrm>
        <a:custGeom>
          <a:avLst/>
          <a:gdLst/>
          <a:ahLst/>
          <a:cxnLst/>
          <a:rect l="0" t="0" r="0" b="0"/>
          <a:pathLst>
            <a:path>
              <a:moveTo>
                <a:pt x="0" y="9932"/>
              </a:moveTo>
              <a:lnTo>
                <a:pt x="544221" y="993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667650" y="852860"/>
        <a:ext cx="27211" cy="27211"/>
      </dsp:txXfrm>
    </dsp:sp>
    <dsp:sp modelId="{2FFE21D0-CA6D-A843-A733-ACE5D4805CF6}">
      <dsp:nvSpPr>
        <dsp:cNvPr id="0" name=""/>
        <dsp:cNvSpPr/>
      </dsp:nvSpPr>
      <dsp:spPr>
        <a:xfrm>
          <a:off x="2836649" y="448848"/>
          <a:ext cx="776963" cy="388481"/>
        </a:xfrm>
        <a:prstGeom prst="roundRect">
          <a:avLst>
            <a:gd name="adj" fmla="val 10000"/>
          </a:avLst>
        </a:prstGeom>
        <a:solidFill>
          <a:schemeClr val="accent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GB" sz="600" kern="1200"/>
            <a:t>LTM2: Beam of serving cell becomes worse than absolute threshold</a:t>
          </a:r>
        </a:p>
      </dsp:txBody>
      <dsp:txXfrm>
        <a:off x="2848027" y="460226"/>
        <a:ext cx="754207" cy="365725"/>
      </dsp:txXfrm>
    </dsp:sp>
    <dsp:sp modelId="{1E71FD0F-0BDC-3A4C-83C3-DDD78F81CBCC}">
      <dsp:nvSpPr>
        <dsp:cNvPr id="0" name=""/>
        <dsp:cNvSpPr/>
      </dsp:nvSpPr>
      <dsp:spPr>
        <a:xfrm>
          <a:off x="2525863" y="1079910"/>
          <a:ext cx="310785" cy="19865"/>
        </a:xfrm>
        <a:custGeom>
          <a:avLst/>
          <a:gdLst/>
          <a:ahLst/>
          <a:cxnLst/>
          <a:rect l="0" t="0" r="0" b="0"/>
          <a:pathLst>
            <a:path>
              <a:moveTo>
                <a:pt x="0" y="9932"/>
              </a:moveTo>
              <a:lnTo>
                <a:pt x="310785" y="993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673486" y="1082073"/>
        <a:ext cx="15539" cy="15539"/>
      </dsp:txXfrm>
    </dsp:sp>
    <dsp:sp modelId="{741CC061-BF35-F94E-AFB4-9BA3F9E6FD95}">
      <dsp:nvSpPr>
        <dsp:cNvPr id="0" name=""/>
        <dsp:cNvSpPr/>
      </dsp:nvSpPr>
      <dsp:spPr>
        <a:xfrm>
          <a:off x="2836649" y="895602"/>
          <a:ext cx="776963" cy="388481"/>
        </a:xfrm>
        <a:prstGeom prst="roundRect">
          <a:avLst>
            <a:gd name="adj" fmla="val 10000"/>
          </a:avLst>
        </a:prstGeom>
        <a:solidFill>
          <a:schemeClr val="accent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GB" sz="600" kern="1200"/>
            <a:t>LTM3: Beam of candidate cell becomes offset better than beam of serving cell</a:t>
          </a:r>
        </a:p>
      </dsp:txBody>
      <dsp:txXfrm>
        <a:off x="2848027" y="906980"/>
        <a:ext cx="754207" cy="365725"/>
      </dsp:txXfrm>
    </dsp:sp>
    <dsp:sp modelId="{B330E300-C421-8B44-B56B-0F98D69B5E0F}">
      <dsp:nvSpPr>
        <dsp:cNvPr id="0" name=""/>
        <dsp:cNvSpPr/>
      </dsp:nvSpPr>
      <dsp:spPr>
        <a:xfrm rot="3468951">
          <a:off x="2396201" y="1314716"/>
          <a:ext cx="554873" cy="19865"/>
        </a:xfrm>
        <a:custGeom>
          <a:avLst/>
          <a:gdLst/>
          <a:ahLst/>
          <a:cxnLst/>
          <a:rect l="0" t="0" r="0" b="0"/>
          <a:pathLst>
            <a:path>
              <a:moveTo>
                <a:pt x="0" y="9932"/>
              </a:moveTo>
              <a:lnTo>
                <a:pt x="554873" y="993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659766" y="1310777"/>
        <a:ext cx="27743" cy="27743"/>
      </dsp:txXfrm>
    </dsp:sp>
    <dsp:sp modelId="{66FFE054-47C6-B149-85B9-D2122B1609B0}">
      <dsp:nvSpPr>
        <dsp:cNvPr id="0" name=""/>
        <dsp:cNvSpPr/>
      </dsp:nvSpPr>
      <dsp:spPr>
        <a:xfrm>
          <a:off x="2821412" y="1365214"/>
          <a:ext cx="1461289" cy="388481"/>
        </a:xfrm>
        <a:prstGeom prst="roundRect">
          <a:avLst>
            <a:gd name="adj" fmla="val 10000"/>
          </a:avLst>
        </a:prstGeom>
        <a:solidFill>
          <a:schemeClr val="accent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t>LTM5: Beam of serving cell becomes worse than absolute threshold1 AND Beam of candidate cell becomes better than </a:t>
          </a:r>
          <a:r>
            <a:rPr lang="en-US" sz="500" kern="1200"/>
            <a:t>another absolute threshold2</a:t>
          </a:r>
          <a:endParaRPr lang="en-GB" sz="500" kern="1200"/>
        </a:p>
      </dsp:txBody>
      <dsp:txXfrm>
        <a:off x="2832790" y="1376592"/>
        <a:ext cx="1438533" cy="365725"/>
      </dsp:txXfrm>
    </dsp:sp>
    <dsp:sp modelId="{A2DBA04D-4E00-7546-AA36-ABCC3CBA96A5}">
      <dsp:nvSpPr>
        <dsp:cNvPr id="0" name=""/>
        <dsp:cNvSpPr/>
      </dsp:nvSpPr>
      <dsp:spPr>
        <a:xfrm>
          <a:off x="1748900" y="2012487"/>
          <a:ext cx="776963" cy="388481"/>
        </a:xfrm>
        <a:prstGeom prst="roundRect">
          <a:avLst>
            <a:gd name="adj" fmla="val 10000"/>
          </a:avLst>
        </a:prstGeom>
        <a:solidFill>
          <a:schemeClr val="accent4"/>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GB" sz="600" kern="1200"/>
            <a:t>Release LTM Candidate Configuration(s)</a:t>
          </a:r>
        </a:p>
      </dsp:txBody>
      <dsp:txXfrm>
        <a:off x="1760278" y="2023865"/>
        <a:ext cx="754207" cy="365725"/>
      </dsp:txXfrm>
    </dsp:sp>
    <dsp:sp modelId="{D0042A4C-37B6-6A46-8EA0-1AADB50398FA}">
      <dsp:nvSpPr>
        <dsp:cNvPr id="0" name=""/>
        <dsp:cNvSpPr/>
      </dsp:nvSpPr>
      <dsp:spPr>
        <a:xfrm rot="19457599">
          <a:off x="2489889" y="2085106"/>
          <a:ext cx="382733" cy="19865"/>
        </a:xfrm>
        <a:custGeom>
          <a:avLst/>
          <a:gdLst/>
          <a:ahLst/>
          <a:cxnLst/>
          <a:rect l="0" t="0" r="0" b="0"/>
          <a:pathLst>
            <a:path>
              <a:moveTo>
                <a:pt x="0" y="9932"/>
              </a:moveTo>
              <a:lnTo>
                <a:pt x="382733" y="993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671688" y="2085471"/>
        <a:ext cx="19136" cy="19136"/>
      </dsp:txXfrm>
    </dsp:sp>
    <dsp:sp modelId="{FC8B53DD-0EDE-EE49-A42A-1AF89EA330AA}">
      <dsp:nvSpPr>
        <dsp:cNvPr id="0" name=""/>
        <dsp:cNvSpPr/>
      </dsp:nvSpPr>
      <dsp:spPr>
        <a:xfrm>
          <a:off x="2836649" y="1789110"/>
          <a:ext cx="776963" cy="388481"/>
        </a:xfrm>
        <a:prstGeom prst="roundRect">
          <a:avLst>
            <a:gd name="adj" fmla="val 10000"/>
          </a:avLst>
        </a:prstGeom>
        <a:solidFill>
          <a:schemeClr val="accent4"/>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t>Beam of candidate cell becomes offset worse than beam of serving cell</a:t>
          </a:r>
          <a:endParaRPr lang="en-GB" sz="600" kern="1200"/>
        </a:p>
      </dsp:txBody>
      <dsp:txXfrm>
        <a:off x="2848027" y="1800488"/>
        <a:ext cx="754207" cy="365725"/>
      </dsp:txXfrm>
    </dsp:sp>
    <dsp:sp modelId="{95EFB233-14ED-1F44-9EAC-462C8AD34D47}">
      <dsp:nvSpPr>
        <dsp:cNvPr id="0" name=""/>
        <dsp:cNvSpPr/>
      </dsp:nvSpPr>
      <dsp:spPr>
        <a:xfrm rot="2142401">
          <a:off x="2489889" y="2308483"/>
          <a:ext cx="382733" cy="19865"/>
        </a:xfrm>
        <a:custGeom>
          <a:avLst/>
          <a:gdLst/>
          <a:ahLst/>
          <a:cxnLst/>
          <a:rect l="0" t="0" r="0" b="0"/>
          <a:pathLst>
            <a:path>
              <a:moveTo>
                <a:pt x="0" y="9932"/>
              </a:moveTo>
              <a:lnTo>
                <a:pt x="382733" y="993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671688" y="2308848"/>
        <a:ext cx="19136" cy="19136"/>
      </dsp:txXfrm>
    </dsp:sp>
    <dsp:sp modelId="{57CB46FC-3ECE-3343-8537-DAEC0388557D}">
      <dsp:nvSpPr>
        <dsp:cNvPr id="0" name=""/>
        <dsp:cNvSpPr/>
      </dsp:nvSpPr>
      <dsp:spPr>
        <a:xfrm>
          <a:off x="2836649" y="2235864"/>
          <a:ext cx="776963" cy="388481"/>
        </a:xfrm>
        <a:prstGeom prst="roundRect">
          <a:avLst>
            <a:gd name="adj" fmla="val 10000"/>
          </a:avLst>
        </a:prstGeom>
        <a:solidFill>
          <a:schemeClr val="accent4"/>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t>Beam of serving cell becomes better than absolute threshold</a:t>
          </a:r>
          <a:endParaRPr lang="en-GB" sz="600" kern="1200"/>
        </a:p>
      </dsp:txBody>
      <dsp:txXfrm>
        <a:off x="2848027" y="2247242"/>
        <a:ext cx="754207" cy="365725"/>
      </dsp:txXfrm>
    </dsp:sp>
    <dsp:sp modelId="{FE203BF8-0AC7-9A45-9AD4-5B4FCE90DFA3}">
      <dsp:nvSpPr>
        <dsp:cNvPr id="0" name=""/>
        <dsp:cNvSpPr/>
      </dsp:nvSpPr>
      <dsp:spPr>
        <a:xfrm>
          <a:off x="1748900" y="2905995"/>
          <a:ext cx="776963" cy="388481"/>
        </a:xfrm>
        <a:prstGeom prst="roundRect">
          <a:avLst>
            <a:gd name="adj" fmla="val 10000"/>
          </a:avLst>
        </a:prstGeom>
        <a:solidFill>
          <a:schemeClr val="accent4"/>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GB" sz="600" kern="1200"/>
            <a:t>Early Sync management of LTM candidate cells</a:t>
          </a:r>
        </a:p>
      </dsp:txBody>
      <dsp:txXfrm>
        <a:off x="1760278" y="2917373"/>
        <a:ext cx="754207" cy="365725"/>
      </dsp:txXfrm>
    </dsp:sp>
    <dsp:sp modelId="{5E0D984F-1F68-384F-AF76-C8A825E11EC4}">
      <dsp:nvSpPr>
        <dsp:cNvPr id="0" name=""/>
        <dsp:cNvSpPr/>
      </dsp:nvSpPr>
      <dsp:spPr>
        <a:xfrm rot="19457599">
          <a:off x="2489889" y="2978614"/>
          <a:ext cx="382733" cy="19865"/>
        </a:xfrm>
        <a:custGeom>
          <a:avLst/>
          <a:gdLst/>
          <a:ahLst/>
          <a:cxnLst/>
          <a:rect l="0" t="0" r="0" b="0"/>
          <a:pathLst>
            <a:path>
              <a:moveTo>
                <a:pt x="0" y="9932"/>
              </a:moveTo>
              <a:lnTo>
                <a:pt x="382733" y="993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671688" y="2978979"/>
        <a:ext cx="19136" cy="19136"/>
      </dsp:txXfrm>
    </dsp:sp>
    <dsp:sp modelId="{E79221BD-6CDE-4C43-B797-B891ECD48AAD}">
      <dsp:nvSpPr>
        <dsp:cNvPr id="0" name=""/>
        <dsp:cNvSpPr/>
      </dsp:nvSpPr>
      <dsp:spPr>
        <a:xfrm>
          <a:off x="2836649" y="2682618"/>
          <a:ext cx="776963" cy="388481"/>
        </a:xfrm>
        <a:prstGeom prst="roundRect">
          <a:avLst>
            <a:gd name="adj" fmla="val 10000"/>
          </a:avLst>
        </a:prstGeom>
        <a:solidFill>
          <a:schemeClr val="bg1">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b="0" kern="1200"/>
            <a:t>Beam of candidate cell becomes worse than absolute threshold</a:t>
          </a:r>
          <a:endParaRPr lang="en-GB" sz="600" kern="1200"/>
        </a:p>
      </dsp:txBody>
      <dsp:txXfrm>
        <a:off x="2848027" y="2693996"/>
        <a:ext cx="754207" cy="365725"/>
      </dsp:txXfrm>
    </dsp:sp>
    <dsp:sp modelId="{06255F26-8E87-4140-A188-37A05638411F}">
      <dsp:nvSpPr>
        <dsp:cNvPr id="0" name=""/>
        <dsp:cNvSpPr/>
      </dsp:nvSpPr>
      <dsp:spPr>
        <a:xfrm rot="2142401">
          <a:off x="2489889" y="3201991"/>
          <a:ext cx="382733" cy="19865"/>
        </a:xfrm>
        <a:custGeom>
          <a:avLst/>
          <a:gdLst/>
          <a:ahLst/>
          <a:cxnLst/>
          <a:rect l="0" t="0" r="0" b="0"/>
          <a:pathLst>
            <a:path>
              <a:moveTo>
                <a:pt x="0" y="9932"/>
              </a:moveTo>
              <a:lnTo>
                <a:pt x="382733" y="993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671688" y="3202356"/>
        <a:ext cx="19136" cy="19136"/>
      </dsp:txXfrm>
    </dsp:sp>
    <dsp:sp modelId="{1FB8CD76-F8A9-CC4A-B163-3AD5EFF8FEDB}">
      <dsp:nvSpPr>
        <dsp:cNvPr id="0" name=""/>
        <dsp:cNvSpPr/>
      </dsp:nvSpPr>
      <dsp:spPr>
        <a:xfrm>
          <a:off x="2836649" y="3129371"/>
          <a:ext cx="776963" cy="388481"/>
        </a:xfrm>
        <a:prstGeom prst="roundRect">
          <a:avLst>
            <a:gd name="adj" fmla="val 10000"/>
          </a:avLst>
        </a:prstGeom>
        <a:solidFill>
          <a:schemeClr val="accent4"/>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kern="1200"/>
            <a:t>Beam of candidate cell becomes offset better than pre-activated beam of candidate cell</a:t>
          </a:r>
          <a:endParaRPr lang="en-GB" sz="600" kern="1200"/>
        </a:p>
      </dsp:txBody>
      <dsp:txXfrm>
        <a:off x="2848027" y="3140749"/>
        <a:ext cx="754207" cy="36572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DF22A75C-A79A-413C-BDB4-B862BCF3B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915</TotalTime>
  <Pages>6</Pages>
  <Words>2130</Words>
  <Characters>11472</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13575</CharactersWithSpaces>
  <SharedDoc>false</SharedDoc>
  <HLinks>
    <vt:vector size="96" baseType="variant">
      <vt:variant>
        <vt:i4>1507382</vt:i4>
      </vt:variant>
      <vt:variant>
        <vt:i4>65</vt:i4>
      </vt:variant>
      <vt:variant>
        <vt:i4>0</vt:i4>
      </vt:variant>
      <vt:variant>
        <vt:i4>5</vt:i4>
      </vt:variant>
      <vt:variant>
        <vt:lpwstr/>
      </vt:variant>
      <vt:variant>
        <vt:lpwstr>_Toc174007302</vt:lpwstr>
      </vt:variant>
      <vt:variant>
        <vt:i4>1507382</vt:i4>
      </vt:variant>
      <vt:variant>
        <vt:i4>62</vt:i4>
      </vt:variant>
      <vt:variant>
        <vt:i4>0</vt:i4>
      </vt:variant>
      <vt:variant>
        <vt:i4>5</vt:i4>
      </vt:variant>
      <vt:variant>
        <vt:lpwstr/>
      </vt:variant>
      <vt:variant>
        <vt:lpwstr>_Toc174007301</vt:lpwstr>
      </vt:variant>
      <vt:variant>
        <vt:i4>1507382</vt:i4>
      </vt:variant>
      <vt:variant>
        <vt:i4>59</vt:i4>
      </vt:variant>
      <vt:variant>
        <vt:i4>0</vt:i4>
      </vt:variant>
      <vt:variant>
        <vt:i4>5</vt:i4>
      </vt:variant>
      <vt:variant>
        <vt:lpwstr/>
      </vt:variant>
      <vt:variant>
        <vt:lpwstr>_Toc174007300</vt:lpwstr>
      </vt:variant>
      <vt:variant>
        <vt:i4>1966135</vt:i4>
      </vt:variant>
      <vt:variant>
        <vt:i4>56</vt:i4>
      </vt:variant>
      <vt:variant>
        <vt:i4>0</vt:i4>
      </vt:variant>
      <vt:variant>
        <vt:i4>5</vt:i4>
      </vt:variant>
      <vt:variant>
        <vt:lpwstr/>
      </vt:variant>
      <vt:variant>
        <vt:lpwstr>_Toc174007299</vt:lpwstr>
      </vt:variant>
      <vt:variant>
        <vt:i4>1966135</vt:i4>
      </vt:variant>
      <vt:variant>
        <vt:i4>53</vt:i4>
      </vt:variant>
      <vt:variant>
        <vt:i4>0</vt:i4>
      </vt:variant>
      <vt:variant>
        <vt:i4>5</vt:i4>
      </vt:variant>
      <vt:variant>
        <vt:lpwstr/>
      </vt:variant>
      <vt:variant>
        <vt:lpwstr>_Toc174007298</vt:lpwstr>
      </vt:variant>
      <vt:variant>
        <vt:i4>1966135</vt:i4>
      </vt:variant>
      <vt:variant>
        <vt:i4>50</vt:i4>
      </vt:variant>
      <vt:variant>
        <vt:i4>0</vt:i4>
      </vt:variant>
      <vt:variant>
        <vt:i4>5</vt:i4>
      </vt:variant>
      <vt:variant>
        <vt:lpwstr/>
      </vt:variant>
      <vt:variant>
        <vt:lpwstr>_Toc174007297</vt:lpwstr>
      </vt:variant>
      <vt:variant>
        <vt:i4>1966135</vt:i4>
      </vt:variant>
      <vt:variant>
        <vt:i4>47</vt:i4>
      </vt:variant>
      <vt:variant>
        <vt:i4>0</vt:i4>
      </vt:variant>
      <vt:variant>
        <vt:i4>5</vt:i4>
      </vt:variant>
      <vt:variant>
        <vt:lpwstr/>
      </vt:variant>
      <vt:variant>
        <vt:lpwstr>_Toc174007296</vt:lpwstr>
      </vt:variant>
      <vt:variant>
        <vt:i4>1966135</vt:i4>
      </vt:variant>
      <vt:variant>
        <vt:i4>44</vt:i4>
      </vt:variant>
      <vt:variant>
        <vt:i4>0</vt:i4>
      </vt:variant>
      <vt:variant>
        <vt:i4>5</vt:i4>
      </vt:variant>
      <vt:variant>
        <vt:lpwstr/>
      </vt:variant>
      <vt:variant>
        <vt:lpwstr>_Toc174007295</vt:lpwstr>
      </vt:variant>
      <vt:variant>
        <vt:i4>1966135</vt:i4>
      </vt:variant>
      <vt:variant>
        <vt:i4>41</vt:i4>
      </vt:variant>
      <vt:variant>
        <vt:i4>0</vt:i4>
      </vt:variant>
      <vt:variant>
        <vt:i4>5</vt:i4>
      </vt:variant>
      <vt:variant>
        <vt:lpwstr/>
      </vt:variant>
      <vt:variant>
        <vt:lpwstr>_Toc174007294</vt:lpwstr>
      </vt:variant>
      <vt:variant>
        <vt:i4>1966135</vt:i4>
      </vt:variant>
      <vt:variant>
        <vt:i4>35</vt:i4>
      </vt:variant>
      <vt:variant>
        <vt:i4>0</vt:i4>
      </vt:variant>
      <vt:variant>
        <vt:i4>5</vt:i4>
      </vt:variant>
      <vt:variant>
        <vt:lpwstr/>
      </vt:variant>
      <vt:variant>
        <vt:lpwstr>_Toc174007293</vt:lpwstr>
      </vt:variant>
      <vt:variant>
        <vt:i4>1966135</vt:i4>
      </vt:variant>
      <vt:variant>
        <vt:i4>32</vt:i4>
      </vt:variant>
      <vt:variant>
        <vt:i4>0</vt:i4>
      </vt:variant>
      <vt:variant>
        <vt:i4>5</vt:i4>
      </vt:variant>
      <vt:variant>
        <vt:lpwstr/>
      </vt:variant>
      <vt:variant>
        <vt:lpwstr>_Toc174007292</vt:lpwstr>
      </vt:variant>
      <vt:variant>
        <vt:i4>1966135</vt:i4>
      </vt:variant>
      <vt:variant>
        <vt:i4>29</vt:i4>
      </vt:variant>
      <vt:variant>
        <vt:i4>0</vt:i4>
      </vt:variant>
      <vt:variant>
        <vt:i4>5</vt:i4>
      </vt:variant>
      <vt:variant>
        <vt:lpwstr/>
      </vt:variant>
      <vt:variant>
        <vt:lpwstr>_Toc174007291</vt:lpwstr>
      </vt:variant>
      <vt:variant>
        <vt:i4>1966135</vt:i4>
      </vt:variant>
      <vt:variant>
        <vt:i4>26</vt:i4>
      </vt:variant>
      <vt:variant>
        <vt:i4>0</vt:i4>
      </vt:variant>
      <vt:variant>
        <vt:i4>5</vt:i4>
      </vt:variant>
      <vt:variant>
        <vt:lpwstr/>
      </vt:variant>
      <vt:variant>
        <vt:lpwstr>_Toc174007290</vt:lpwstr>
      </vt:variant>
      <vt:variant>
        <vt:i4>2031671</vt:i4>
      </vt:variant>
      <vt:variant>
        <vt:i4>23</vt:i4>
      </vt:variant>
      <vt:variant>
        <vt:i4>0</vt:i4>
      </vt:variant>
      <vt:variant>
        <vt:i4>5</vt:i4>
      </vt:variant>
      <vt:variant>
        <vt:lpwstr/>
      </vt:variant>
      <vt:variant>
        <vt:lpwstr>_Toc174007289</vt:lpwstr>
      </vt:variant>
      <vt:variant>
        <vt:i4>2031671</vt:i4>
      </vt:variant>
      <vt:variant>
        <vt:i4>20</vt:i4>
      </vt:variant>
      <vt:variant>
        <vt:i4>0</vt:i4>
      </vt:variant>
      <vt:variant>
        <vt:i4>5</vt:i4>
      </vt:variant>
      <vt:variant>
        <vt:lpwstr/>
      </vt:variant>
      <vt:variant>
        <vt:lpwstr>_Toc174007288</vt:lpwstr>
      </vt:variant>
      <vt:variant>
        <vt:i4>2031671</vt:i4>
      </vt:variant>
      <vt:variant>
        <vt:i4>17</vt:i4>
      </vt:variant>
      <vt:variant>
        <vt:i4>0</vt:i4>
      </vt:variant>
      <vt:variant>
        <vt:i4>5</vt:i4>
      </vt:variant>
      <vt:variant>
        <vt:lpwstr/>
      </vt:variant>
      <vt:variant>
        <vt:lpwstr>_Toc174007287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854</cp:revision>
  <cp:lastPrinted>2008-02-02T05:09:00Z</cp:lastPrinted>
  <dcterms:created xsi:type="dcterms:W3CDTF">2023-09-02T05:30:00Z</dcterms:created>
  <dcterms:modified xsi:type="dcterms:W3CDTF">2024-08-09T06:24:00Z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